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47719" w14:textId="77777777" w:rsidR="00EE1AE3" w:rsidRDefault="00EE1AE3" w:rsidP="00DA3A77">
      <w:pPr>
        <w:spacing w:after="0" w:line="240" w:lineRule="auto"/>
        <w:rPr>
          <w:b/>
          <w:color w:val="343F5E"/>
          <w:sz w:val="32"/>
          <w:szCs w:val="32"/>
        </w:rPr>
      </w:pPr>
      <w:r w:rsidRPr="00685C8E">
        <w:rPr>
          <w:b/>
          <w:color w:val="343F5E"/>
          <w:sz w:val="32"/>
          <w:szCs w:val="32"/>
        </w:rPr>
        <w:t xml:space="preserve">Response of </w:t>
      </w:r>
      <w:r>
        <w:rPr>
          <w:b/>
          <w:color w:val="343F5E"/>
          <w:sz w:val="32"/>
          <w:szCs w:val="32"/>
        </w:rPr>
        <w:t>the Global Legal Entity Identifier Foundation (</w:t>
      </w:r>
      <w:r w:rsidRPr="00685C8E">
        <w:rPr>
          <w:b/>
          <w:color w:val="343F5E"/>
          <w:sz w:val="32"/>
          <w:szCs w:val="32"/>
        </w:rPr>
        <w:t>GLEIF</w:t>
      </w:r>
      <w:r>
        <w:rPr>
          <w:b/>
          <w:color w:val="343F5E"/>
          <w:sz w:val="32"/>
          <w:szCs w:val="32"/>
        </w:rPr>
        <w:t>)</w:t>
      </w:r>
      <w:r w:rsidRPr="00685C8E">
        <w:rPr>
          <w:b/>
          <w:color w:val="343F5E"/>
          <w:sz w:val="32"/>
          <w:szCs w:val="32"/>
        </w:rPr>
        <w:t xml:space="preserve"> to</w:t>
      </w:r>
    </w:p>
    <w:p w14:paraId="05E9B02F" w14:textId="48AFD0DC" w:rsidR="00EE1AE3" w:rsidRDefault="00EE1AE3" w:rsidP="00DA3A77">
      <w:pPr>
        <w:spacing w:after="0" w:line="240" w:lineRule="auto"/>
        <w:rPr>
          <w:b/>
          <w:color w:val="343F5E"/>
          <w:sz w:val="32"/>
          <w:szCs w:val="32"/>
        </w:rPr>
      </w:pPr>
      <w:r w:rsidRPr="000F1DF1">
        <w:rPr>
          <w:b/>
          <w:color w:val="343F5E"/>
          <w:sz w:val="32"/>
          <w:szCs w:val="32"/>
        </w:rPr>
        <w:t>the</w:t>
      </w:r>
      <w:r w:rsidR="004C26D7" w:rsidRPr="004C26D7">
        <w:rPr>
          <w:b/>
          <w:color w:val="343F5E"/>
          <w:sz w:val="32"/>
          <w:szCs w:val="32"/>
        </w:rPr>
        <w:t xml:space="preserve"> </w:t>
      </w:r>
      <w:r w:rsidR="00EB3162">
        <w:rPr>
          <w:b/>
          <w:color w:val="343F5E"/>
          <w:sz w:val="32"/>
          <w:szCs w:val="32"/>
        </w:rPr>
        <w:t xml:space="preserve">Securities </w:t>
      </w:r>
      <w:r w:rsidR="009B19DB">
        <w:rPr>
          <w:b/>
          <w:color w:val="343F5E"/>
          <w:sz w:val="32"/>
          <w:szCs w:val="32"/>
        </w:rPr>
        <w:t xml:space="preserve">and </w:t>
      </w:r>
      <w:r w:rsidR="00EB3162">
        <w:rPr>
          <w:b/>
          <w:color w:val="343F5E"/>
          <w:sz w:val="32"/>
          <w:szCs w:val="32"/>
        </w:rPr>
        <w:t xml:space="preserve">Exchange </w:t>
      </w:r>
      <w:r w:rsidR="004C26D7" w:rsidRPr="004C26D7">
        <w:rPr>
          <w:b/>
          <w:color w:val="343F5E"/>
          <w:sz w:val="32"/>
          <w:szCs w:val="32"/>
        </w:rPr>
        <w:t>Commission</w:t>
      </w:r>
      <w:r w:rsidR="00EB3162">
        <w:rPr>
          <w:b/>
          <w:color w:val="343F5E"/>
          <w:sz w:val="32"/>
          <w:szCs w:val="32"/>
        </w:rPr>
        <w:t xml:space="preserve"> on </w:t>
      </w:r>
      <w:r w:rsidR="005D6030">
        <w:rPr>
          <w:b/>
          <w:color w:val="343F5E"/>
          <w:sz w:val="32"/>
          <w:szCs w:val="32"/>
        </w:rPr>
        <w:t>Nationally Recognized Statistical Rating Organization</w:t>
      </w:r>
      <w:r w:rsidR="00057BCE">
        <w:rPr>
          <w:b/>
          <w:color w:val="343F5E"/>
          <w:sz w:val="32"/>
          <w:szCs w:val="32"/>
        </w:rPr>
        <w:t>s</w:t>
      </w:r>
      <w:r w:rsidR="00EB3162">
        <w:rPr>
          <w:b/>
          <w:color w:val="343F5E"/>
          <w:sz w:val="32"/>
          <w:szCs w:val="32"/>
        </w:rPr>
        <w:t xml:space="preserve"> Disclosure</w:t>
      </w:r>
      <w:r w:rsidR="004C26D7" w:rsidRPr="004C26D7">
        <w:rPr>
          <w:b/>
          <w:color w:val="343F5E"/>
          <w:sz w:val="32"/>
          <w:szCs w:val="32"/>
        </w:rPr>
        <w:t xml:space="preserve"> </w:t>
      </w:r>
      <w:r w:rsidR="0014491A">
        <w:rPr>
          <w:b/>
          <w:color w:val="343F5E"/>
          <w:sz w:val="32"/>
          <w:szCs w:val="32"/>
        </w:rPr>
        <w:t>Requirements</w:t>
      </w:r>
    </w:p>
    <w:p w14:paraId="7118B418" w14:textId="073A337D" w:rsidR="00EE1AE3" w:rsidRPr="004C26D7" w:rsidRDefault="00565452" w:rsidP="00DA3A77">
      <w:pPr>
        <w:spacing w:after="0" w:line="240" w:lineRule="auto"/>
        <w:rPr>
          <w:bCs/>
          <w:color w:val="343F5E"/>
          <w:sz w:val="32"/>
          <w:szCs w:val="32"/>
        </w:rPr>
      </w:pPr>
      <w:r w:rsidRPr="004C26D7">
        <w:rPr>
          <w:bCs/>
          <w:color w:val="343F5E"/>
          <w:sz w:val="32"/>
          <w:szCs w:val="32"/>
        </w:rPr>
        <w:t>J</w:t>
      </w:r>
      <w:r w:rsidR="00EB3162">
        <w:rPr>
          <w:bCs/>
          <w:color w:val="343F5E"/>
          <w:sz w:val="32"/>
          <w:szCs w:val="32"/>
        </w:rPr>
        <w:t>une</w:t>
      </w:r>
      <w:r w:rsidR="00EE1AE3" w:rsidRPr="004C26D7">
        <w:rPr>
          <w:bCs/>
          <w:color w:val="343F5E"/>
          <w:sz w:val="32"/>
          <w:szCs w:val="32"/>
        </w:rPr>
        <w:t xml:space="preserve"> </w:t>
      </w:r>
      <w:bookmarkStart w:id="0" w:name="_GoBack"/>
      <w:bookmarkEnd w:id="0"/>
      <w:r w:rsidR="00EE1AE3" w:rsidRPr="004C26D7">
        <w:rPr>
          <w:bCs/>
          <w:color w:val="343F5E"/>
          <w:sz w:val="32"/>
          <w:szCs w:val="32"/>
        </w:rPr>
        <w:t>202</w:t>
      </w:r>
      <w:r w:rsidRPr="004C26D7">
        <w:rPr>
          <w:bCs/>
          <w:color w:val="343F5E"/>
          <w:sz w:val="32"/>
          <w:szCs w:val="32"/>
        </w:rPr>
        <w:t>1</w:t>
      </w:r>
      <w:r w:rsidR="00EE1AE3" w:rsidRPr="004C26D7">
        <w:rPr>
          <w:bCs/>
          <w:color w:val="343F5E"/>
          <w:sz w:val="32"/>
          <w:szCs w:val="32"/>
        </w:rPr>
        <w:t xml:space="preserve"> </w:t>
      </w:r>
    </w:p>
    <w:p w14:paraId="2C52AD13" w14:textId="77777777" w:rsidR="00DA3A77" w:rsidRPr="001D3007" w:rsidRDefault="00DA3A77" w:rsidP="00DA3A77">
      <w:pPr>
        <w:spacing w:after="0" w:line="240" w:lineRule="auto"/>
        <w:rPr>
          <w:b/>
          <w:color w:val="343F5E"/>
          <w:sz w:val="24"/>
          <w:szCs w:val="24"/>
        </w:rPr>
      </w:pPr>
    </w:p>
    <w:p w14:paraId="450DF909" w14:textId="77777777" w:rsidR="0014491A" w:rsidRPr="0014491A" w:rsidRDefault="0014491A" w:rsidP="0014491A">
      <w:pPr>
        <w:spacing w:after="0" w:line="240" w:lineRule="auto"/>
        <w:rPr>
          <w:rFonts w:eastAsia="Times New Roman" w:cs="Times New Roman"/>
          <w:iCs/>
        </w:rPr>
      </w:pPr>
      <w:r w:rsidRPr="0014491A">
        <w:rPr>
          <w:rFonts w:eastAsia="Times New Roman" w:cs="Times New Roman"/>
          <w:iCs/>
        </w:rPr>
        <w:t>The Global Legal Entity Identifier Foundation (GLEIF) is pleased to provide comments to the Securities and Exchange Commission (Commission) on disclosure requirements for Nationally Recognized Statistical Rating Organizations (“NRSROs”).  GLEIF will focus its comments on the use of the Legal Entity Identifier (LEI) in the consultation.</w:t>
      </w:r>
    </w:p>
    <w:p w14:paraId="4417B705" w14:textId="77777777" w:rsidR="0014491A" w:rsidRPr="0014491A" w:rsidRDefault="0014491A" w:rsidP="0014491A">
      <w:pPr>
        <w:spacing w:after="0" w:line="240" w:lineRule="auto"/>
        <w:rPr>
          <w:rFonts w:eastAsia="Times New Roman" w:cs="Times New Roman"/>
          <w:iCs/>
        </w:rPr>
      </w:pPr>
      <w:r w:rsidRPr="0014491A">
        <w:rPr>
          <w:rFonts w:eastAsia="Times New Roman" w:cs="Times New Roman"/>
          <w:iCs/>
        </w:rPr>
        <w:br/>
      </w:r>
      <w:r w:rsidRPr="0014491A">
        <w:rPr>
          <w:rFonts w:eastAsia="Times New Roman" w:cs="Times New Roman"/>
          <w:b/>
          <w:bCs/>
          <w:i/>
          <w:iCs/>
        </w:rPr>
        <w:t xml:space="preserve">First, some background information on the LEI and GLEIF. </w:t>
      </w:r>
    </w:p>
    <w:p w14:paraId="5CD5121B" w14:textId="77777777" w:rsidR="0014491A" w:rsidRPr="0014491A" w:rsidRDefault="0014491A" w:rsidP="0014491A">
      <w:pPr>
        <w:spacing w:after="0" w:line="240" w:lineRule="auto"/>
        <w:rPr>
          <w:rFonts w:eastAsia="Times New Roman" w:cs="Times New Roman"/>
          <w:iCs/>
        </w:rPr>
      </w:pPr>
    </w:p>
    <w:p w14:paraId="75248719" w14:textId="77777777" w:rsidR="0014491A" w:rsidRPr="0014491A" w:rsidRDefault="0014491A" w:rsidP="0014491A">
      <w:pPr>
        <w:spacing w:after="0" w:line="240" w:lineRule="auto"/>
        <w:rPr>
          <w:rFonts w:eastAsia="Times New Roman" w:cs="Times New Roman"/>
          <w:iCs/>
        </w:rPr>
      </w:pPr>
      <w:r w:rsidRPr="0014491A">
        <w:rPr>
          <w:rFonts w:eastAsia="Times New Roman" w:cs="Times New Roman"/>
          <w:iCs/>
        </w:rPr>
        <w:t xml:space="preserve">The Legal Entity Identifier (LEI) itself is a 20-digit, alpha-numeric code based on the ISO 17442 standard developed by the International Organization for Standardization (ISO). The code connects to key reference information that enables clear and unique identification of legal entities participating in financial transactions including their ownership structure.  The LEI and its associated reference data are accessible to all as open, public data.  </w:t>
      </w:r>
    </w:p>
    <w:p w14:paraId="155FBC80" w14:textId="77777777" w:rsidR="0014491A" w:rsidRPr="0014491A" w:rsidRDefault="0014491A" w:rsidP="0014491A">
      <w:pPr>
        <w:spacing w:after="0" w:line="240" w:lineRule="auto"/>
        <w:rPr>
          <w:rFonts w:eastAsia="Times New Roman" w:cs="Times New Roman"/>
          <w:iCs/>
        </w:rPr>
      </w:pPr>
    </w:p>
    <w:p w14:paraId="14CF3C11" w14:textId="77777777" w:rsidR="0014491A" w:rsidRPr="0014491A" w:rsidRDefault="0014491A" w:rsidP="0014491A">
      <w:pPr>
        <w:spacing w:after="0" w:line="240" w:lineRule="auto"/>
        <w:rPr>
          <w:rFonts w:eastAsia="Times New Roman" w:cs="Times New Roman"/>
          <w:iCs/>
        </w:rPr>
      </w:pPr>
      <w:r w:rsidRPr="0014491A">
        <w:rPr>
          <w:rFonts w:eastAsia="Times New Roman" w:cs="Times New Roman"/>
          <w:iCs/>
        </w:rPr>
        <w:t xml:space="preserve">Established by the Financial Stability Board in June 2014 under the mission of improving financial stability and transparency due to the aftermath of the financial crisis, GLEIF is tasked to support the implementation and use of the LEI. Even though the primary and initial usage and adoption of the LEI was around financial markets and financial instruments, the LEI is use agnostic and therefore has been embraced by different industry sectors and regulators since its introduction by the Regulatory Oversight Committee and the Financial Stability Board in 2012. Further details on the use of the LEI in regulatory initiatives is provided </w:t>
      </w:r>
      <w:hyperlink r:id="rId9" w:history="1">
        <w:r w:rsidRPr="0014491A">
          <w:rPr>
            <w:rStyle w:val="Hyperlink"/>
            <w:rFonts w:eastAsia="Times New Roman" w:cs="Times New Roman"/>
            <w:iCs/>
          </w:rPr>
          <w:t>here</w:t>
        </w:r>
      </w:hyperlink>
      <w:r w:rsidRPr="0014491A">
        <w:rPr>
          <w:rFonts w:eastAsia="Times New Roman" w:cs="Times New Roman"/>
          <w:iCs/>
        </w:rPr>
        <w:t xml:space="preserve">. </w:t>
      </w:r>
    </w:p>
    <w:p w14:paraId="6D40092D" w14:textId="77777777" w:rsidR="0014491A" w:rsidRPr="0014491A" w:rsidRDefault="0014491A" w:rsidP="0014491A">
      <w:pPr>
        <w:spacing w:after="0" w:line="240" w:lineRule="auto"/>
        <w:rPr>
          <w:rFonts w:eastAsia="Times New Roman" w:cs="Times New Roman"/>
          <w:iCs/>
        </w:rPr>
      </w:pPr>
    </w:p>
    <w:p w14:paraId="4D0060C1" w14:textId="5EF2107F" w:rsidR="0014491A" w:rsidRDefault="0014491A" w:rsidP="0014491A">
      <w:pPr>
        <w:spacing w:after="0" w:line="240" w:lineRule="auto"/>
        <w:rPr>
          <w:rFonts w:eastAsia="Times New Roman" w:cs="Times New Roman"/>
          <w:iCs/>
        </w:rPr>
      </w:pPr>
      <w:r w:rsidRPr="0014491A">
        <w:rPr>
          <w:rFonts w:eastAsia="Times New Roman" w:cs="Times New Roman"/>
          <w:b/>
          <w:bCs/>
          <w:i/>
          <w:iCs/>
        </w:rPr>
        <w:t>GLEIF would like to provide comments on the potential of the LEI in NRSRO reporting:</w:t>
      </w:r>
      <w:r w:rsidRPr="0014491A">
        <w:rPr>
          <w:rFonts w:eastAsia="Times New Roman" w:cs="Times New Roman"/>
          <w:iCs/>
        </w:rPr>
        <w:br/>
      </w:r>
      <w:r w:rsidRPr="0014491A">
        <w:rPr>
          <w:rFonts w:eastAsia="Times New Roman" w:cs="Times New Roman"/>
          <w:iCs/>
        </w:rPr>
        <w:br/>
      </w:r>
      <w:r w:rsidRPr="0014491A">
        <w:rPr>
          <w:rFonts w:eastAsia="Times New Roman" w:cs="Times New Roman"/>
          <w:i/>
          <w:iCs/>
        </w:rPr>
        <w:t xml:space="preserve"> </w:t>
      </w:r>
      <w:r w:rsidRPr="0014491A">
        <w:rPr>
          <w:rFonts w:eastAsia="Times New Roman" w:cs="Times New Roman"/>
          <w:iCs/>
        </w:rPr>
        <w:t>The LEI is the only global standard for legal entity identification.  There are innumerable national or regional standards for entity identification across the world. Different identifiers might serve the national needs, however, create conflicts and inefficiencies when it comes to the reconciliation of data across borders.  For example, the Central Index Key (CIK) number is used to track entities that file with the Commission’s EDGAR system while the Commission also uses Commission File Numbers to track entities that are regulated under the Securities Exchange Act and the Investment Company Act</w:t>
      </w:r>
      <w:r w:rsidRPr="0014491A">
        <w:rPr>
          <w:rFonts w:eastAsia="Times New Roman" w:cs="Times New Roman"/>
          <w:iCs/>
          <w:vertAlign w:val="superscript"/>
        </w:rPr>
        <w:footnoteReference w:id="1"/>
      </w:r>
      <w:r w:rsidRPr="0014491A">
        <w:rPr>
          <w:rFonts w:eastAsia="Times New Roman" w:cs="Times New Roman"/>
          <w:iCs/>
        </w:rPr>
        <w:t xml:space="preserve">. Research conducted by GLEIF and Data Foundation demonstrates that the U.S. federal government alone uses 50 distinct entity identification systems—all of which are separate and incompatible with one another. Therefore, the LEI responds to the critical need for a universal system of identifying entities across markets, products, and regions. Instead of using/accepting multiple identifiers, the Commission could leverage the LEI, as an established </w:t>
      </w:r>
      <w:r w:rsidR="006F24B3" w:rsidRPr="0014491A">
        <w:rPr>
          <w:rFonts w:eastAsia="Times New Roman" w:cs="Times New Roman"/>
          <w:iCs/>
        </w:rPr>
        <w:t>open-source</w:t>
      </w:r>
      <w:r w:rsidRPr="0014491A">
        <w:rPr>
          <w:rFonts w:eastAsia="Times New Roman" w:cs="Times New Roman"/>
          <w:iCs/>
        </w:rPr>
        <w:t xml:space="preserve"> identifier, to harmonize and share critical data among federal agencies.</w:t>
      </w:r>
    </w:p>
    <w:p w14:paraId="4CACFB9B" w14:textId="065BB4F8" w:rsidR="0014491A" w:rsidRPr="0014491A" w:rsidRDefault="0014491A" w:rsidP="0014491A">
      <w:pPr>
        <w:spacing w:after="0" w:line="240" w:lineRule="auto"/>
        <w:rPr>
          <w:rFonts w:eastAsia="Times New Roman" w:cs="Times New Roman"/>
          <w:iCs/>
        </w:rPr>
      </w:pPr>
      <w:r w:rsidRPr="0014491A">
        <w:rPr>
          <w:rFonts w:eastAsia="Times New Roman" w:cs="Times New Roman"/>
          <w:iCs/>
        </w:rPr>
        <w:br/>
      </w:r>
      <w:r w:rsidRPr="0014491A">
        <w:rPr>
          <w:rFonts w:eastAsia="Times New Roman" w:cs="Times New Roman"/>
          <w:iCs/>
        </w:rPr>
        <w:br/>
      </w:r>
      <w:r w:rsidRPr="0014491A">
        <w:rPr>
          <w:rFonts w:eastAsia="Times New Roman" w:cs="Times New Roman"/>
          <w:iCs/>
        </w:rPr>
        <w:lastRenderedPageBreak/>
        <w:t xml:space="preserve">The value proposition of LEI has been recognized by several U.S. regulators, not limited to just the Commission, however also including the Commodities Future Trading Commission (CFTC), Federal Reserve, Consumer Financial Protection Bureau, National Association of Insurance Commissioners and U.S. Treasury. The LEI currently exists in 26 various U.S. laws and regulations and globally the LEI exists in 119 laws and regulations.     </w:t>
      </w:r>
    </w:p>
    <w:p w14:paraId="1A38A9C1" w14:textId="22329446" w:rsidR="0014491A" w:rsidRPr="0014491A" w:rsidRDefault="0014491A" w:rsidP="0014491A">
      <w:pPr>
        <w:spacing w:after="0" w:line="240" w:lineRule="auto"/>
        <w:rPr>
          <w:rFonts w:eastAsia="Times New Roman" w:cs="Times New Roman"/>
          <w:iCs/>
        </w:rPr>
      </w:pPr>
      <w:r w:rsidRPr="0014491A">
        <w:rPr>
          <w:rFonts w:eastAsia="Times New Roman" w:cs="Times New Roman"/>
          <w:iCs/>
        </w:rPr>
        <w:br/>
        <w:t xml:space="preserve">GLEIF suggests that the Commission require the use of open, non-proprietary identifiers, both at the instrument and issuer level, with the LEI representing issuers. As mentioned previously, the LEI is the only global standard for entity identification. NRSROs provide ratings for both U.S. domestic financial issuers, as well as international or foreign issuers. Moreover, non-U.S. issuers often issue financial instruments for primary sale in the U.S. markets and therefore, as it relates to the Commission, the LEI is a logical choice. </w:t>
      </w:r>
      <w:r w:rsidRPr="0014491A">
        <w:rPr>
          <w:rFonts w:eastAsia="Times New Roman" w:cs="Times New Roman"/>
          <w:iCs/>
        </w:rPr>
        <w:br/>
      </w:r>
      <w:r w:rsidRPr="0014491A">
        <w:rPr>
          <w:rFonts w:eastAsia="Times New Roman" w:cs="Times New Roman"/>
          <w:iCs/>
        </w:rPr>
        <w:br/>
        <w:t xml:space="preserve">This would also create an opportunity for the Commission to align the registration of offering documents with submissions from NRSROs, if the Commission adopted the LEI in addition to CIK numbers. This would be an interesting development for the primary bond markets, resulting in a single identification scheme for issuers requesting ratings and filing registration documents with the Commission. For example, ratings are often applied for days in advance of new bond offerings, just as the preliminary and/or final prospectus are prepared prior to public announcement. Since both ratings and offering documents are crucial to the new bond issuances, the Commission would set forth a unified system of identification for both key processes. </w:t>
      </w:r>
      <w:r w:rsidRPr="0014491A">
        <w:rPr>
          <w:rFonts w:eastAsia="Times New Roman" w:cs="Times New Roman"/>
          <w:iCs/>
        </w:rPr>
        <w:br/>
      </w:r>
      <w:r w:rsidRPr="0014491A">
        <w:rPr>
          <w:rFonts w:eastAsia="Times New Roman" w:cs="Times New Roman"/>
          <w:iCs/>
        </w:rPr>
        <w:br/>
        <w:t>GLEIF believes that many NRSROs are consumers of LEI data and have daily routines in place to map LEIs to their own issuer identifiers. T</w:t>
      </w:r>
      <w:r w:rsidR="006F24B3" w:rsidRPr="0014491A">
        <w:rPr>
          <w:rFonts w:eastAsia="Times New Roman" w:cs="Times New Roman"/>
          <w:iCs/>
        </w:rPr>
        <w:t>he</w:t>
      </w:r>
      <w:r w:rsidRPr="0014491A">
        <w:rPr>
          <w:rFonts w:eastAsia="Times New Roman" w:cs="Times New Roman"/>
          <w:iCs/>
        </w:rPr>
        <w:t xml:space="preserve"> Commission could therefore benefit from the existing use of the LEI by NRSROs. Furthermore, many issuers of financial instruments already have </w:t>
      </w:r>
      <w:proofErr w:type="gramStart"/>
      <w:r w:rsidRPr="0014491A">
        <w:rPr>
          <w:rFonts w:eastAsia="Times New Roman" w:cs="Times New Roman"/>
          <w:iCs/>
        </w:rPr>
        <w:t>an</w:t>
      </w:r>
      <w:proofErr w:type="gramEnd"/>
      <w:r w:rsidRPr="0014491A">
        <w:rPr>
          <w:rFonts w:eastAsia="Times New Roman" w:cs="Times New Roman"/>
          <w:iCs/>
        </w:rPr>
        <w:t xml:space="preserve"> LEI because of various regulatory requirements globally. </w:t>
      </w:r>
      <w:r w:rsidRPr="0014491A">
        <w:rPr>
          <w:rFonts w:eastAsia="Times New Roman" w:cs="Times New Roman"/>
          <w:iCs/>
        </w:rPr>
        <w:br/>
      </w:r>
      <w:r w:rsidRPr="0014491A">
        <w:rPr>
          <w:rFonts w:eastAsia="Times New Roman" w:cs="Times New Roman"/>
          <w:iCs/>
        </w:rPr>
        <w:br/>
      </w:r>
      <w:r w:rsidRPr="0014491A">
        <w:rPr>
          <w:rFonts w:eastAsia="Times New Roman" w:cs="Times New Roman"/>
          <w:iCs/>
          <w:lang w:val="en"/>
        </w:rPr>
        <w:t>GLEIF also suggests that the Commission could make further use of the XBRL reporting capability, which includes a LEI taxonomy that can be used in conjunction with any inline XBRL taxonomy. XBRL US is a nonprofit standards organization. The mission of XBRL US is to improve the efficiency and quality of reporting in the U.S. by promoting the adoption of business reporting standards. XBRL US is a jurisdiction of XBRL International, the nonprofit consortium responsible for developing and maintaining the technical XBRL specification, which is a free and open data standard widely used around the world for reporting by public and private companies, as well as government entities. The Commission could both leverage existing standards, in this case XBLR in tandem with the LEI, to create more transparency, improve reporting and the quality of data included therein.</w:t>
      </w:r>
    </w:p>
    <w:p w14:paraId="0AD512E7" w14:textId="77777777" w:rsidR="0014491A" w:rsidRPr="0014491A" w:rsidRDefault="0014491A" w:rsidP="0014491A">
      <w:pPr>
        <w:spacing w:after="0" w:line="240" w:lineRule="auto"/>
        <w:rPr>
          <w:rFonts w:eastAsia="Times New Roman" w:cs="Times New Roman"/>
          <w:iCs/>
        </w:rPr>
      </w:pPr>
      <w:r w:rsidRPr="0014491A">
        <w:rPr>
          <w:rFonts w:eastAsia="Times New Roman" w:cs="Times New Roman"/>
          <w:iCs/>
        </w:rPr>
        <w:br/>
        <w:t>The Foundation for Evidence-based Policy Making Act of 2018 (Evidence Act) requires that data be open and be shared across federal agencies. Furthermore, President Biden’s Memorandum on Restoring Trust in Government Through Scientific Integrity and Evidence-Based Policymaking</w:t>
      </w:r>
    </w:p>
    <w:p w14:paraId="2B42EDD4" w14:textId="77777777" w:rsidR="0014491A" w:rsidRPr="0014491A" w:rsidRDefault="0014491A" w:rsidP="0014491A">
      <w:pPr>
        <w:spacing w:after="0" w:line="240" w:lineRule="auto"/>
        <w:rPr>
          <w:rFonts w:eastAsia="Times New Roman" w:cs="Times New Roman"/>
          <w:iCs/>
        </w:rPr>
      </w:pPr>
      <w:r w:rsidRPr="0014491A">
        <w:rPr>
          <w:rFonts w:eastAsia="Times New Roman" w:cs="Times New Roman"/>
          <w:iCs/>
        </w:rPr>
        <w:t xml:space="preserve">further supports the Evidence Act: </w:t>
      </w:r>
      <w:r w:rsidRPr="0014491A">
        <w:rPr>
          <w:rFonts w:eastAsia="Times New Roman" w:cs="Times New Roman"/>
          <w:iCs/>
        </w:rPr>
        <w:br/>
      </w:r>
      <w:r w:rsidRPr="0014491A">
        <w:rPr>
          <w:rFonts w:eastAsia="Times New Roman" w:cs="Times New Roman"/>
          <w:iCs/>
        </w:rPr>
        <w:br/>
        <w:t>“(d) Consistent with the provisions of the Foundations for Evidence-Based Policymaking Act of 2018, heads of agencies shall, as appropriate and consistent with applicable law, expand open and secure access to Federal data routinely collected in the course of administering Federal, State, local, Tribal, or territorial government programs or fulfilling Federal, State, local, Tribal, or territorial government mandates...”</w:t>
      </w:r>
    </w:p>
    <w:p w14:paraId="41AAA38D" w14:textId="77777777" w:rsidR="0014491A" w:rsidRPr="0014491A" w:rsidRDefault="0014491A" w:rsidP="0014491A">
      <w:pPr>
        <w:spacing w:after="0" w:line="240" w:lineRule="auto"/>
        <w:rPr>
          <w:rFonts w:eastAsia="Times New Roman" w:cs="Times New Roman"/>
          <w:iCs/>
        </w:rPr>
      </w:pPr>
      <w:r w:rsidRPr="0014491A">
        <w:rPr>
          <w:rFonts w:eastAsia="Times New Roman" w:cs="Times New Roman"/>
          <w:iCs/>
        </w:rPr>
        <w:lastRenderedPageBreak/>
        <w:br/>
        <w:t>Consultations and amendments to existing requirements are opportunities to re-consider existing identifier schemes with longer term vision for a broader, standardized, and consistent use of global standards and open sharing across US agencies.</w:t>
      </w:r>
    </w:p>
    <w:p w14:paraId="5949887E" w14:textId="09F1546E" w:rsidR="0014491A" w:rsidRPr="0014491A" w:rsidRDefault="0014491A" w:rsidP="0014491A">
      <w:pPr>
        <w:spacing w:after="0" w:line="240" w:lineRule="auto"/>
        <w:rPr>
          <w:rFonts w:eastAsia="Times New Roman" w:cs="Times New Roman"/>
          <w:iCs/>
        </w:rPr>
      </w:pPr>
      <w:r w:rsidRPr="0014491A">
        <w:rPr>
          <w:rFonts w:eastAsia="Times New Roman" w:cs="Times New Roman"/>
          <w:iCs/>
        </w:rPr>
        <w:br/>
        <w:t xml:space="preserve">Lastly, the Commission could also benefit from data that accompanies a LEI record. For example, company name and address (legal and headquarters) can be automatically retrieved or verified from </w:t>
      </w:r>
      <w:proofErr w:type="gramStart"/>
      <w:r w:rsidRPr="0014491A">
        <w:rPr>
          <w:rFonts w:eastAsia="Times New Roman" w:cs="Times New Roman"/>
          <w:iCs/>
        </w:rPr>
        <w:t>an</w:t>
      </w:r>
      <w:proofErr w:type="gramEnd"/>
      <w:r w:rsidRPr="0014491A">
        <w:rPr>
          <w:rFonts w:eastAsia="Times New Roman" w:cs="Times New Roman"/>
          <w:iCs/>
        </w:rPr>
        <w:t xml:space="preserve"> LEI record. All LEI data is validated and verified by LEI issuers against authoritative sources which results in a trusted source of entity data. LEI issuers are accredited through a rigorous process by GLEIF and renewed annually. LEI data can be accessed through GLEIF’s API at no charge. The GLEIF API gives developers access to the full LEI Data search engine functionality, including filters, full-text and single-field searches of legal entity and ownership data, and “fuzzy” matching of relevant data fields such as names and addresses. In addition to LEI reference data, the GLEIF API also makes available further related data, e. g., reference data of LEI issuers, code lists used in LEI records and mapped identifiers like </w:t>
      </w:r>
      <w:hyperlink r:id="rId10" w:history="1">
        <w:r w:rsidRPr="0014491A">
          <w:rPr>
            <w:rStyle w:val="Hyperlink"/>
            <w:rFonts w:eastAsia="Times New Roman" w:cs="Times New Roman"/>
            <w:iCs/>
          </w:rPr>
          <w:t>Bank Identifier Code (BIC)</w:t>
        </w:r>
      </w:hyperlink>
      <w:r w:rsidRPr="0014491A">
        <w:rPr>
          <w:rFonts w:eastAsia="Times New Roman" w:cs="Times New Roman"/>
          <w:iCs/>
        </w:rPr>
        <w:t xml:space="preserve"> or </w:t>
      </w:r>
      <w:hyperlink r:id="rId11" w:history="1">
        <w:r w:rsidRPr="0014491A">
          <w:rPr>
            <w:rStyle w:val="Hyperlink"/>
            <w:rFonts w:eastAsia="Times New Roman" w:cs="Times New Roman"/>
            <w:iCs/>
          </w:rPr>
          <w:t>International Securities Identification Number (ISIN).</w:t>
        </w:r>
      </w:hyperlink>
    </w:p>
    <w:p w14:paraId="75062B1A" w14:textId="77777777" w:rsidR="0014491A" w:rsidRPr="0014491A" w:rsidRDefault="0014491A" w:rsidP="0014491A">
      <w:pPr>
        <w:spacing w:after="0" w:line="240" w:lineRule="auto"/>
        <w:rPr>
          <w:rFonts w:eastAsia="Times New Roman" w:cs="Times New Roman"/>
          <w:iCs/>
        </w:rPr>
      </w:pPr>
    </w:p>
    <w:p w14:paraId="08B082C7" w14:textId="77777777" w:rsidR="0014491A" w:rsidRPr="0014491A" w:rsidRDefault="0014491A" w:rsidP="0014491A">
      <w:pPr>
        <w:spacing w:after="0" w:line="240" w:lineRule="auto"/>
        <w:rPr>
          <w:rFonts w:eastAsia="Times New Roman" w:cs="Times New Roman"/>
          <w:iCs/>
        </w:rPr>
      </w:pPr>
      <w:r w:rsidRPr="0014491A">
        <w:rPr>
          <w:rFonts w:eastAsia="Times New Roman" w:cs="Times New Roman"/>
          <w:iCs/>
        </w:rPr>
        <w:t xml:space="preserve">GLEIF would be pleased to further engage with the Commission on this topic and provide further information, if requested. </w:t>
      </w:r>
    </w:p>
    <w:p w14:paraId="37A14E7E" w14:textId="0A06B608" w:rsidR="00EE1AE3" w:rsidRDefault="00EE1AE3" w:rsidP="004C26D7">
      <w:pPr>
        <w:spacing w:after="0" w:line="240" w:lineRule="auto"/>
        <w:rPr>
          <w:b/>
          <w:bCs/>
          <w:color w:val="000000" w:themeColor="text1"/>
          <w:lang w:val="en-GB"/>
        </w:rPr>
      </w:pPr>
    </w:p>
    <w:p w14:paraId="7EF93303" w14:textId="77777777" w:rsidR="00AE435B" w:rsidRPr="001874E4" w:rsidRDefault="00AE435B" w:rsidP="00DA3A77">
      <w:pPr>
        <w:widowControl w:val="0"/>
        <w:autoSpaceDE w:val="0"/>
        <w:autoSpaceDN w:val="0"/>
        <w:adjustRightInd w:val="0"/>
        <w:spacing w:after="0" w:line="240" w:lineRule="auto"/>
        <w:jc w:val="both"/>
        <w:rPr>
          <w:color w:val="000000" w:themeColor="text1"/>
        </w:rPr>
      </w:pPr>
    </w:p>
    <w:sectPr w:rsidR="00AE435B" w:rsidRPr="001874E4" w:rsidSect="00284D68">
      <w:headerReference w:type="default" r:id="rId12"/>
      <w:footerReference w:type="default" r:id="rId13"/>
      <w:headerReference w:type="first" r:id="rId14"/>
      <w:pgSz w:w="11906" w:h="16838"/>
      <w:pgMar w:top="2875" w:right="1133" w:bottom="1134" w:left="1417" w:header="706" w:footer="3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D0C1C" w14:textId="77777777" w:rsidR="00943B69" w:rsidRDefault="00943B69" w:rsidP="00712D88">
      <w:pPr>
        <w:spacing w:after="0" w:line="240" w:lineRule="auto"/>
      </w:pPr>
      <w:r>
        <w:separator/>
      </w:r>
    </w:p>
  </w:endnote>
  <w:endnote w:type="continuationSeparator" w:id="0">
    <w:p w14:paraId="2AB50059" w14:textId="77777777" w:rsidR="00943B69" w:rsidRDefault="00943B69" w:rsidP="00712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nlo Regular">
    <w:altName w:val="Menlo"/>
    <w:panose1 w:val="020B0609030804020204"/>
    <w:charset w:val="00"/>
    <w:family w:val="modern"/>
    <w:pitch w:val="fixed"/>
    <w:sig w:usb0="E60022FF" w:usb1="D200F9FB" w:usb2="02000028" w:usb3="00000000" w:csb0="000001D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5002EFF" w:usb1="C000E47F" w:usb2="00000029" w:usb3="00000000" w:csb0="000001FF" w:csb1="00000000"/>
  </w:font>
  <w:font w:name="Helvetica">
    <w:panose1 w:val="00000000000000000000"/>
    <w:charset w:val="00"/>
    <w:family w:val="auto"/>
    <w:pitch w:val="variable"/>
    <w:sig w:usb0="E0002EFF" w:usb1="C000785B" w:usb2="00000009" w:usb3="00000000" w:csb0="000001FF" w:csb1="00000000"/>
  </w:font>
  <w:font w:name="Times">
    <w:panose1 w:val="02000500000000000000"/>
    <w:charset w:val="00"/>
    <w:family w:val="auto"/>
    <w:pitch w:val="variable"/>
    <w:sig w:usb0="E0002EFF" w:usb1="D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F3079" w14:textId="5F9F658E" w:rsidR="00477C31" w:rsidRPr="002948E3" w:rsidRDefault="00477C31" w:rsidP="00477C31">
    <w:pPr>
      <w:pStyle w:val="Footer"/>
      <w:tabs>
        <w:tab w:val="clear" w:pos="4536"/>
        <w:tab w:val="clear" w:pos="9072"/>
        <w:tab w:val="left" w:pos="3133"/>
      </w:tabs>
    </w:pPr>
  </w:p>
  <w:p w14:paraId="72D36905" w14:textId="7F697D42" w:rsidR="00477C31" w:rsidRPr="002948E3" w:rsidRDefault="00943B69" w:rsidP="00477C31">
    <w:pPr>
      <w:pStyle w:val="Footer"/>
      <w:tabs>
        <w:tab w:val="clear" w:pos="4536"/>
        <w:tab w:val="clear" w:pos="9072"/>
        <w:tab w:val="right" w:pos="8931"/>
      </w:tabs>
    </w:pPr>
    <w:sdt>
      <w:sdtPr>
        <w:alias w:val="Kategorie"/>
        <w:tag w:val=""/>
        <w:id w:val="-2059936723"/>
        <w:dataBinding w:prefixMappings="xmlns:ns0='http://purl.org/dc/elements/1.1/' xmlns:ns1='http://schemas.openxmlformats.org/package/2006/metadata/core-properties' " w:xpath="/ns1:coreProperties[1]/ns1:category[1]" w:storeItemID="{6C3C8BC8-F283-45AE-878A-BAB7291924A1}"/>
        <w:text/>
      </w:sdtPr>
      <w:sdtEndPr/>
      <w:sdtContent>
        <w:r w:rsidR="00992E94">
          <w:t>© 20</w:t>
        </w:r>
        <w:r w:rsidR="003610C2">
          <w:t>2</w:t>
        </w:r>
        <w:r w:rsidR="007654EA">
          <w:t>1</w:t>
        </w:r>
        <w:r w:rsidR="0017222B">
          <w:t xml:space="preserve"> GLEIF and/or its affiliates. All rights reserved | GLEIF unrestricted</w:t>
        </w:r>
      </w:sdtContent>
    </w:sdt>
    <w:r w:rsidR="00477C31" w:rsidRPr="002948E3">
      <w:tab/>
      <w:t xml:space="preserve"> Page </w:t>
    </w:r>
    <w:r w:rsidR="00477C31" w:rsidRPr="002948E3">
      <w:rPr>
        <w:b/>
        <w:bCs/>
      </w:rPr>
      <w:fldChar w:fldCharType="begin"/>
    </w:r>
    <w:r w:rsidR="00477C31" w:rsidRPr="002948E3">
      <w:rPr>
        <w:b/>
        <w:bCs/>
      </w:rPr>
      <w:instrText>PAGE  \* Arabic  \* MERGEFORMAT</w:instrText>
    </w:r>
    <w:r w:rsidR="00477C31" w:rsidRPr="002948E3">
      <w:rPr>
        <w:b/>
        <w:bCs/>
      </w:rPr>
      <w:fldChar w:fldCharType="separate"/>
    </w:r>
    <w:r w:rsidR="00352AE3">
      <w:rPr>
        <w:b/>
        <w:bCs/>
        <w:noProof/>
      </w:rPr>
      <w:t>1</w:t>
    </w:r>
    <w:r w:rsidR="00477C31" w:rsidRPr="002948E3">
      <w:rPr>
        <w:b/>
        <w:bCs/>
      </w:rPr>
      <w:fldChar w:fldCharType="end"/>
    </w:r>
    <w:r w:rsidR="00477C31" w:rsidRPr="002948E3">
      <w:t xml:space="preserve"> of </w:t>
    </w:r>
    <w:r w:rsidR="00477C31" w:rsidRPr="002948E3">
      <w:rPr>
        <w:b/>
        <w:bCs/>
      </w:rPr>
      <w:fldChar w:fldCharType="begin"/>
    </w:r>
    <w:r w:rsidR="00477C31" w:rsidRPr="002948E3">
      <w:rPr>
        <w:b/>
        <w:bCs/>
      </w:rPr>
      <w:instrText>NUMPAGES  \* Arabic  \* MERGEFORMAT</w:instrText>
    </w:r>
    <w:r w:rsidR="00477C31" w:rsidRPr="002948E3">
      <w:rPr>
        <w:b/>
        <w:bCs/>
      </w:rPr>
      <w:fldChar w:fldCharType="separate"/>
    </w:r>
    <w:r w:rsidR="00352AE3">
      <w:rPr>
        <w:b/>
        <w:bCs/>
        <w:noProof/>
      </w:rPr>
      <w:t>2</w:t>
    </w:r>
    <w:r w:rsidR="00477C31" w:rsidRPr="002948E3">
      <w:rPr>
        <w:b/>
        <w:bCs/>
      </w:rPr>
      <w:fldChar w:fldCharType="end"/>
    </w:r>
  </w:p>
  <w:p w14:paraId="5B9D7772" w14:textId="5577805E" w:rsidR="0078755B" w:rsidRPr="002948E3" w:rsidRDefault="0078755B" w:rsidP="003C3F97">
    <w:pPr>
      <w:pStyle w:val="Footer"/>
      <w:tabs>
        <w:tab w:val="clear" w:pos="4536"/>
        <w:tab w:val="clear" w:pos="9072"/>
        <w:tab w:val="right" w:pos="893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708BA" w14:textId="77777777" w:rsidR="00943B69" w:rsidRDefault="00943B69" w:rsidP="00712D88">
      <w:pPr>
        <w:spacing w:after="0" w:line="240" w:lineRule="auto"/>
      </w:pPr>
      <w:r>
        <w:separator/>
      </w:r>
    </w:p>
  </w:footnote>
  <w:footnote w:type="continuationSeparator" w:id="0">
    <w:p w14:paraId="7E7BB6F4" w14:textId="77777777" w:rsidR="00943B69" w:rsidRDefault="00943B69" w:rsidP="00712D88">
      <w:pPr>
        <w:spacing w:after="0" w:line="240" w:lineRule="auto"/>
      </w:pPr>
      <w:r>
        <w:continuationSeparator/>
      </w:r>
    </w:p>
  </w:footnote>
  <w:footnote w:id="1">
    <w:p w14:paraId="2489E532" w14:textId="77777777" w:rsidR="0014491A" w:rsidRPr="00EF2824" w:rsidRDefault="0014491A" w:rsidP="0014491A">
      <w:pPr>
        <w:pStyle w:val="FootnoteText"/>
        <w:rPr>
          <w:sz w:val="16"/>
          <w:szCs w:val="16"/>
          <w:lang w:val="en-US"/>
        </w:rPr>
      </w:pPr>
      <w:r>
        <w:rPr>
          <w:rStyle w:val="FootnoteReference"/>
        </w:rPr>
        <w:footnoteRef/>
      </w:r>
      <w:r w:rsidRPr="00A97B93">
        <w:rPr>
          <w:lang w:val="en-US"/>
        </w:rPr>
        <w:t xml:space="preserve"> </w:t>
      </w:r>
      <w:r w:rsidRPr="00EF2824">
        <w:rPr>
          <w:sz w:val="16"/>
          <w:szCs w:val="16"/>
          <w:lang w:val="en-US"/>
        </w:rPr>
        <w:t xml:space="preserve">GLEIF and Data Foundation Research Report - Envisioning Comprehensive Entity Identification for the U.S. Federal Government: </w:t>
      </w:r>
      <w:hyperlink r:id="rId1" w:history="1">
        <w:r w:rsidRPr="00EF2824">
          <w:rPr>
            <w:rStyle w:val="Hyperlink"/>
            <w:sz w:val="16"/>
            <w:szCs w:val="16"/>
            <w:lang w:val="en-US"/>
          </w:rPr>
          <w:t>https://www.gleif.org/en/lei-solutions/regulatory-use-of-the-lei/gleif-and-data-foundation-comprehensive-entity-id-for-u-s-federal-government#</w:t>
        </w:r>
      </w:hyperlink>
      <w:r w:rsidRPr="00EF2824">
        <w:rPr>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8373B" w14:textId="1EBB35C4" w:rsidR="0079309B" w:rsidRPr="002948E3" w:rsidRDefault="0079309B">
    <w:pPr>
      <w:pStyle w:val="Header"/>
    </w:pPr>
  </w:p>
  <w:p w14:paraId="1B3B9708" w14:textId="52DFAAF8" w:rsidR="0078755B" w:rsidRPr="002948E3" w:rsidRDefault="00943B69" w:rsidP="00572B4B">
    <w:pPr>
      <w:pStyle w:val="Header"/>
      <w:tabs>
        <w:tab w:val="clear" w:pos="4536"/>
        <w:tab w:val="clear" w:pos="9072"/>
        <w:tab w:val="left" w:pos="3129"/>
      </w:tabs>
    </w:pPr>
    <w:sdt>
      <w:sdtPr>
        <w:alias w:val="Titel"/>
        <w:tag w:val=""/>
        <w:id w:val="1854759040"/>
        <w:showingPlcHdr/>
        <w:dataBinding w:prefixMappings="xmlns:ns0='http://purl.org/dc/elements/1.1/' xmlns:ns1='http://schemas.openxmlformats.org/package/2006/metadata/core-properties' " w:xpath="/ns1:coreProperties[1]/ns0:title[1]" w:storeItemID="{6C3C8BC8-F283-45AE-878A-BAB7291924A1}"/>
        <w:text/>
      </w:sdtPr>
      <w:sdtEndPr/>
      <w:sdtContent>
        <w:r w:rsidR="00F7397C">
          <w:t xml:space="preserve">     </w:t>
        </w:r>
      </w:sdtContent>
    </w:sdt>
    <w:r w:rsidR="00BD7C26" w:rsidRPr="00BD7C26">
      <w:rPr>
        <w:noProof/>
        <w:lang w:val="en-GB" w:eastAsia="en-GB"/>
      </w:rPr>
      <w:drawing>
        <wp:anchor distT="0" distB="0" distL="114300" distR="114300" simplePos="0" relativeHeight="251665408" behindDoc="0" locked="1" layoutInCell="1" allowOverlap="1" wp14:anchorId="69AECD33" wp14:editId="31F1E8CD">
          <wp:simplePos x="0" y="0"/>
          <wp:positionH relativeFrom="page">
            <wp:posOffset>4781550</wp:posOffset>
          </wp:positionH>
          <wp:positionV relativeFrom="page">
            <wp:posOffset>802005</wp:posOffset>
          </wp:positionV>
          <wp:extent cx="2047875" cy="694690"/>
          <wp:effectExtent l="0" t="0" r="9525" b="0"/>
          <wp:wrapNone/>
          <wp:docPr id="2" name="LEI-Logo" descr="ID logo 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ID logo MS"/>
                  <pic:cNvPicPr>
                    <a:picLocks noChangeAspect="1" noChangeArrowheads="1"/>
                  </pic:cNvPicPr>
                </pic:nvPicPr>
                <pic:blipFill>
                  <a:blip r:embed="rId1"/>
                  <a:stretch>
                    <a:fillRect/>
                  </a:stretch>
                </pic:blipFill>
                <pic:spPr bwMode="auto">
                  <a:xfrm>
                    <a:off x="0" y="0"/>
                    <a:ext cx="2047875" cy="694690"/>
                  </a:xfrm>
                  <a:prstGeom prst="rect">
                    <a:avLst/>
                  </a:prstGeom>
                  <a:noFill/>
                </pic:spPr>
              </pic:pic>
            </a:graphicData>
          </a:graphic>
          <wp14:sizeRelH relativeFrom="margin">
            <wp14:pctWidth>0</wp14:pctWidth>
          </wp14:sizeRelH>
          <wp14:sizeRelV relativeFrom="margin">
            <wp14:pctHeight>0</wp14:pctHeight>
          </wp14:sizeRelV>
        </wp:anchor>
      </w:drawing>
    </w:r>
    <w:r w:rsidR="0078755B" w:rsidRPr="002948E3">
      <w:rPr>
        <w:noProof/>
        <w:lang w:val="en-GB" w:eastAsia="en-GB"/>
      </w:rPr>
      <w:drawing>
        <wp:anchor distT="0" distB="0" distL="114300" distR="114300" simplePos="0" relativeHeight="251663360" behindDoc="0" locked="1" layoutInCell="1" allowOverlap="1" wp14:anchorId="31515DB7" wp14:editId="19851504">
          <wp:simplePos x="0" y="0"/>
          <wp:positionH relativeFrom="page">
            <wp:posOffset>396240</wp:posOffset>
          </wp:positionH>
          <wp:positionV relativeFrom="page">
            <wp:posOffset>345440</wp:posOffset>
          </wp:positionV>
          <wp:extent cx="6886800" cy="219600"/>
          <wp:effectExtent l="0" t="0" r="0" b="9525"/>
          <wp:wrapNone/>
          <wp:docPr id="3" name="bar" descr="ID logo 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ID logo MS"/>
                  <pic:cNvPicPr>
                    <a:picLocks noChangeAspect="1" noChangeArrowheads="1"/>
                  </pic:cNvPicPr>
                </pic:nvPicPr>
                <pic:blipFill>
                  <a:blip r:embed="rId2"/>
                  <a:stretch>
                    <a:fillRect/>
                  </a:stretch>
                </pic:blipFill>
                <pic:spPr bwMode="auto">
                  <a:xfrm>
                    <a:off x="0" y="0"/>
                    <a:ext cx="6886800" cy="219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F8CE3" w14:textId="77777777" w:rsidR="00712D88" w:rsidRPr="002948E3" w:rsidRDefault="00712D88">
    <w:pPr>
      <w:pStyle w:val="Header"/>
    </w:pPr>
    <w:r w:rsidRPr="002948E3">
      <w:rPr>
        <w:noProof/>
        <w:lang w:val="en-GB" w:eastAsia="en-GB"/>
      </w:rPr>
      <w:drawing>
        <wp:anchor distT="0" distB="0" distL="114300" distR="114300" simplePos="0" relativeHeight="251659264" behindDoc="0" locked="1" layoutInCell="1" allowOverlap="1" wp14:anchorId="218404A2" wp14:editId="60B28DF2">
          <wp:simplePos x="0" y="0"/>
          <wp:positionH relativeFrom="page">
            <wp:posOffset>4629449</wp:posOffset>
          </wp:positionH>
          <wp:positionV relativeFrom="page">
            <wp:posOffset>746840</wp:posOffset>
          </wp:positionV>
          <wp:extent cx="2048400" cy="694800"/>
          <wp:effectExtent l="0" t="0" r="9525" b="0"/>
          <wp:wrapNone/>
          <wp:docPr id="4" name="LEI-Logo" descr="ID logo 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ID logo MS"/>
                  <pic:cNvPicPr>
                    <a:picLocks noChangeAspect="1" noChangeArrowheads="1"/>
                  </pic:cNvPicPr>
                </pic:nvPicPr>
                <pic:blipFill>
                  <a:blip r:embed="rId1"/>
                  <a:stretch>
                    <a:fillRect/>
                  </a:stretch>
                </pic:blipFill>
                <pic:spPr bwMode="auto">
                  <a:xfrm>
                    <a:off x="0" y="0"/>
                    <a:ext cx="2048400" cy="694800"/>
                  </a:xfrm>
                  <a:prstGeom prst="rect">
                    <a:avLst/>
                  </a:prstGeom>
                  <a:noFill/>
                </pic:spPr>
              </pic:pic>
            </a:graphicData>
          </a:graphic>
          <wp14:sizeRelH relativeFrom="margin">
            <wp14:pctWidth>0</wp14:pctWidth>
          </wp14:sizeRelH>
          <wp14:sizeRelV relativeFrom="margin">
            <wp14:pctHeight>0</wp14:pctHeight>
          </wp14:sizeRelV>
        </wp:anchor>
      </w:drawing>
    </w:r>
    <w:r w:rsidRPr="002948E3">
      <w:rPr>
        <w:noProof/>
        <w:lang w:val="en-GB" w:eastAsia="en-GB"/>
      </w:rPr>
      <w:drawing>
        <wp:anchor distT="0" distB="0" distL="114300" distR="114300" simplePos="0" relativeHeight="251661312" behindDoc="0" locked="1" layoutInCell="1" allowOverlap="1" wp14:anchorId="3CFC679D" wp14:editId="3A1FBEB0">
          <wp:simplePos x="0" y="0"/>
          <wp:positionH relativeFrom="page">
            <wp:posOffset>396875</wp:posOffset>
          </wp:positionH>
          <wp:positionV relativeFrom="page">
            <wp:posOffset>344170</wp:posOffset>
          </wp:positionV>
          <wp:extent cx="6886800" cy="219600"/>
          <wp:effectExtent l="0" t="0" r="0" b="9525"/>
          <wp:wrapNone/>
          <wp:docPr id="5" name="bar" descr="ID logo 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ID logo MS"/>
                  <pic:cNvPicPr>
                    <a:picLocks noChangeAspect="1" noChangeArrowheads="1"/>
                  </pic:cNvPicPr>
                </pic:nvPicPr>
                <pic:blipFill>
                  <a:blip r:embed="rId2"/>
                  <a:stretch>
                    <a:fillRect/>
                  </a:stretch>
                </pic:blipFill>
                <pic:spPr bwMode="auto">
                  <a:xfrm>
                    <a:off x="0" y="0"/>
                    <a:ext cx="6886800" cy="219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C3242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E6072"/>
    <w:multiLevelType w:val="hybridMultilevel"/>
    <w:tmpl w:val="94F871FA"/>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370A8"/>
    <w:multiLevelType w:val="hybridMultilevel"/>
    <w:tmpl w:val="79369B22"/>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13E15"/>
    <w:multiLevelType w:val="hybridMultilevel"/>
    <w:tmpl w:val="E9AE7ECE"/>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C22FF"/>
    <w:multiLevelType w:val="hybridMultilevel"/>
    <w:tmpl w:val="74DA5146"/>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224E4"/>
    <w:multiLevelType w:val="hybridMultilevel"/>
    <w:tmpl w:val="CFFA4426"/>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E0EA3"/>
    <w:multiLevelType w:val="hybridMultilevel"/>
    <w:tmpl w:val="6900BD26"/>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6403A"/>
    <w:multiLevelType w:val="hybridMultilevel"/>
    <w:tmpl w:val="8B6EA4C2"/>
    <w:lvl w:ilvl="0" w:tplc="99FE3902">
      <w:start w:val="1"/>
      <w:numFmt w:val="bullet"/>
      <w:lvlText w:val=""/>
      <w:lvlJc w:val="left"/>
      <w:pPr>
        <w:ind w:left="720" w:hanging="360"/>
      </w:pPr>
      <w:rPr>
        <w:rFonts w:ascii="Tahoma" w:hAnsi="Tahoma"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46E78"/>
    <w:multiLevelType w:val="hybridMultilevel"/>
    <w:tmpl w:val="737E3E00"/>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07CE8"/>
    <w:multiLevelType w:val="hybridMultilevel"/>
    <w:tmpl w:val="465EEC8A"/>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D44917"/>
    <w:multiLevelType w:val="hybridMultilevel"/>
    <w:tmpl w:val="5BAE82EA"/>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4260FA"/>
    <w:multiLevelType w:val="hybridMultilevel"/>
    <w:tmpl w:val="44DAD5B4"/>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015DE"/>
    <w:multiLevelType w:val="hybridMultilevel"/>
    <w:tmpl w:val="4798014E"/>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C4986"/>
    <w:multiLevelType w:val="hybridMultilevel"/>
    <w:tmpl w:val="C52CA290"/>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8773C4"/>
    <w:multiLevelType w:val="hybridMultilevel"/>
    <w:tmpl w:val="FB8E103C"/>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6D4F12"/>
    <w:multiLevelType w:val="hybridMultilevel"/>
    <w:tmpl w:val="58728986"/>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7D3520"/>
    <w:multiLevelType w:val="hybridMultilevel"/>
    <w:tmpl w:val="7AFA55CE"/>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A11AD2"/>
    <w:multiLevelType w:val="hybridMultilevel"/>
    <w:tmpl w:val="25A0DEA4"/>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BD772A"/>
    <w:multiLevelType w:val="hybridMultilevel"/>
    <w:tmpl w:val="9BF0C96A"/>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6762C6"/>
    <w:multiLevelType w:val="hybridMultilevel"/>
    <w:tmpl w:val="FD3CB1FA"/>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E27D48"/>
    <w:multiLevelType w:val="hybridMultilevel"/>
    <w:tmpl w:val="0E6C82F0"/>
    <w:lvl w:ilvl="0" w:tplc="BE5660C0">
      <w:start w:val="1"/>
      <w:numFmt w:val="bullet"/>
      <w:lvlText w:val=""/>
      <w:lvlJc w:val="left"/>
      <w:pPr>
        <w:ind w:left="1080" w:hanging="360"/>
      </w:pPr>
      <w:rPr>
        <w:rFonts w:ascii="Wingdings" w:hAnsi="Wingdings" w:hint="default"/>
        <w:color w:val="000000" w:themeColor="text1"/>
        <w:u w:color="45618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5E5722D"/>
    <w:multiLevelType w:val="multilevel"/>
    <w:tmpl w:val="B5ECD35A"/>
    <w:lvl w:ilvl="0">
      <w:start w:val="1"/>
      <w:numFmt w:val="decimal"/>
      <w:pStyle w:val="Heading1"/>
      <w:lvlText w:val="%1."/>
      <w:lvlJc w:val="left"/>
      <w:pPr>
        <w:ind w:left="360" w:hanging="360"/>
      </w:pPr>
    </w:lvl>
    <w:lvl w:ilvl="1">
      <w:start w:val="1"/>
      <w:numFmt w:val="decimal"/>
      <w:lvlText w:val="%1.%2."/>
      <w:lvlJc w:val="left"/>
      <w:pPr>
        <w:ind w:left="792" w:hanging="432"/>
      </w:pPr>
      <w:rPr>
        <w:rFonts w:asciiTheme="minorHAnsi" w:hAnsiTheme="minorHAnsi" w:cstheme="minorHAnsi" w:hint="default"/>
        <w:b/>
        <w:bCs w:val="0"/>
        <w:i w:val="0"/>
        <w:iCs w:val="0"/>
        <w:caps w:val="0"/>
        <w:smallCaps w:val="0"/>
        <w:strike w:val="0"/>
        <w:dstrike w:val="0"/>
        <w:noProof w:val="0"/>
        <w:vanish w:val="0"/>
        <w:color w:val="343F5E"/>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DCF2A68"/>
    <w:multiLevelType w:val="hybridMultilevel"/>
    <w:tmpl w:val="2E54AD0C"/>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676369"/>
    <w:multiLevelType w:val="hybridMultilevel"/>
    <w:tmpl w:val="EB2C91C4"/>
    <w:lvl w:ilvl="0" w:tplc="99FE3902">
      <w:start w:val="1"/>
      <w:numFmt w:val="bullet"/>
      <w:lvlText w:val=""/>
      <w:lvlJc w:val="left"/>
      <w:pPr>
        <w:ind w:left="720" w:hanging="360"/>
      </w:pPr>
      <w:rPr>
        <w:rFonts w:ascii="Tahoma" w:hAnsi="Tahoma"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B74D93"/>
    <w:multiLevelType w:val="hybridMultilevel"/>
    <w:tmpl w:val="B03C6E5E"/>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B5501B"/>
    <w:multiLevelType w:val="hybridMultilevel"/>
    <w:tmpl w:val="DD40858E"/>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CF7A5E"/>
    <w:multiLevelType w:val="hybridMultilevel"/>
    <w:tmpl w:val="8A22E0C4"/>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847E57"/>
    <w:multiLevelType w:val="hybridMultilevel"/>
    <w:tmpl w:val="24623744"/>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734154"/>
    <w:multiLevelType w:val="hybridMultilevel"/>
    <w:tmpl w:val="391AF58A"/>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20153D"/>
    <w:multiLevelType w:val="hybridMultilevel"/>
    <w:tmpl w:val="0762B762"/>
    <w:lvl w:ilvl="0" w:tplc="FE9C3624">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BFF6BFA"/>
    <w:multiLevelType w:val="hybridMultilevel"/>
    <w:tmpl w:val="645C9262"/>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CE550C"/>
    <w:multiLevelType w:val="hybridMultilevel"/>
    <w:tmpl w:val="78F2816A"/>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D32BA5"/>
    <w:multiLevelType w:val="hybridMultilevel"/>
    <w:tmpl w:val="038A2C8C"/>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5B7AAE"/>
    <w:multiLevelType w:val="hybridMultilevel"/>
    <w:tmpl w:val="8B0CBB30"/>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EC22C7"/>
    <w:multiLevelType w:val="hybridMultilevel"/>
    <w:tmpl w:val="CE4CB12E"/>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EA170F"/>
    <w:multiLevelType w:val="multilevel"/>
    <w:tmpl w:val="A9B043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B2A59E9"/>
    <w:multiLevelType w:val="hybridMultilevel"/>
    <w:tmpl w:val="187A53A4"/>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F155F8"/>
    <w:multiLevelType w:val="hybridMultilevel"/>
    <w:tmpl w:val="9B185D02"/>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3F1855"/>
    <w:multiLevelType w:val="hybridMultilevel"/>
    <w:tmpl w:val="4A5C2840"/>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4B50B4"/>
    <w:multiLevelType w:val="hybridMultilevel"/>
    <w:tmpl w:val="99109038"/>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B072A7"/>
    <w:multiLevelType w:val="hybridMultilevel"/>
    <w:tmpl w:val="6178AD96"/>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5A4D6B"/>
    <w:multiLevelType w:val="hybridMultilevel"/>
    <w:tmpl w:val="789A2B18"/>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405A50"/>
    <w:multiLevelType w:val="hybridMultilevel"/>
    <w:tmpl w:val="F5A4259A"/>
    <w:lvl w:ilvl="0" w:tplc="99FE3902">
      <w:start w:val="1"/>
      <w:numFmt w:val="bullet"/>
      <w:lvlText w:val=""/>
      <w:lvlJc w:val="left"/>
      <w:pPr>
        <w:ind w:left="720" w:hanging="360"/>
      </w:pPr>
      <w:rPr>
        <w:rFonts w:ascii="Tahoma" w:hAnsi="Tahoma"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2B32F0"/>
    <w:multiLevelType w:val="hybridMultilevel"/>
    <w:tmpl w:val="C71E7F90"/>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E87F0F"/>
    <w:multiLevelType w:val="hybridMultilevel"/>
    <w:tmpl w:val="52785DEC"/>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987A48"/>
    <w:multiLevelType w:val="hybridMultilevel"/>
    <w:tmpl w:val="C8BECDF8"/>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C669AF"/>
    <w:multiLevelType w:val="hybridMultilevel"/>
    <w:tmpl w:val="5C905618"/>
    <w:lvl w:ilvl="0" w:tplc="BE5660C0">
      <w:start w:val="1"/>
      <w:numFmt w:val="bullet"/>
      <w:lvlText w:val=""/>
      <w:lvlJc w:val="left"/>
      <w:pPr>
        <w:ind w:left="108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E81413"/>
    <w:multiLevelType w:val="hybridMultilevel"/>
    <w:tmpl w:val="9DAC50DA"/>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4D744C"/>
    <w:multiLevelType w:val="hybridMultilevel"/>
    <w:tmpl w:val="8D707B6C"/>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5C3B5C"/>
    <w:multiLevelType w:val="hybridMultilevel"/>
    <w:tmpl w:val="00C2838C"/>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131239"/>
    <w:multiLevelType w:val="hybridMultilevel"/>
    <w:tmpl w:val="6DEC6C82"/>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D76812"/>
    <w:multiLevelType w:val="hybridMultilevel"/>
    <w:tmpl w:val="89DE7236"/>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615F47"/>
    <w:multiLevelType w:val="hybridMultilevel"/>
    <w:tmpl w:val="07E2BAB6"/>
    <w:lvl w:ilvl="0" w:tplc="99FE3902">
      <w:start w:val="1"/>
      <w:numFmt w:val="bullet"/>
      <w:lvlText w:val=""/>
      <w:lvlJc w:val="left"/>
      <w:pPr>
        <w:ind w:left="720" w:hanging="360"/>
      </w:pPr>
      <w:rPr>
        <w:rFonts w:ascii="Tahoma" w:hAnsi="Tahoma"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2D7621"/>
    <w:multiLevelType w:val="hybridMultilevel"/>
    <w:tmpl w:val="473639A2"/>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102B8A"/>
    <w:multiLevelType w:val="hybridMultilevel"/>
    <w:tmpl w:val="22A2F884"/>
    <w:lvl w:ilvl="0" w:tplc="040C0001">
      <w:start w:val="1"/>
      <w:numFmt w:val="bullet"/>
      <w:lvlText w:val=""/>
      <w:lvlJc w:val="left"/>
      <w:pPr>
        <w:ind w:left="721" w:hanging="360"/>
      </w:pPr>
      <w:rPr>
        <w:rFonts w:ascii="Symbol" w:hAnsi="Symbol"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55" w15:restartNumberingAfterBreak="0">
    <w:nsid w:val="67B71359"/>
    <w:multiLevelType w:val="hybridMultilevel"/>
    <w:tmpl w:val="C2F279AA"/>
    <w:lvl w:ilvl="0" w:tplc="FE9C3624">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7ED3D64"/>
    <w:multiLevelType w:val="hybridMultilevel"/>
    <w:tmpl w:val="C92899BA"/>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335EEC"/>
    <w:multiLevelType w:val="hybridMultilevel"/>
    <w:tmpl w:val="7BBC739C"/>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386290"/>
    <w:multiLevelType w:val="hybridMultilevel"/>
    <w:tmpl w:val="DBACF7B6"/>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C308F0"/>
    <w:multiLevelType w:val="hybridMultilevel"/>
    <w:tmpl w:val="3634BA4A"/>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C2689F"/>
    <w:multiLevelType w:val="hybridMultilevel"/>
    <w:tmpl w:val="B484DFF6"/>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61B3279"/>
    <w:multiLevelType w:val="hybridMultilevel"/>
    <w:tmpl w:val="08D653BC"/>
    <w:lvl w:ilvl="0" w:tplc="FE9C3624">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77353D1"/>
    <w:multiLevelType w:val="hybridMultilevel"/>
    <w:tmpl w:val="6BF2A36C"/>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A4A450D"/>
    <w:multiLevelType w:val="hybridMultilevel"/>
    <w:tmpl w:val="8FAAD68E"/>
    <w:lvl w:ilvl="0" w:tplc="99FE3902">
      <w:start w:val="1"/>
      <w:numFmt w:val="bullet"/>
      <w:lvlText w:val=""/>
      <w:lvlJc w:val="left"/>
      <w:pPr>
        <w:ind w:left="720" w:hanging="360"/>
      </w:pPr>
      <w:rPr>
        <w:rFonts w:ascii="Tahoma" w:hAnsi="Tahoma"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A65463D"/>
    <w:multiLevelType w:val="multilevel"/>
    <w:tmpl w:val="B40CDF40"/>
    <w:lvl w:ilvl="0">
      <w:start w:val="1"/>
      <w:numFmt w:val="decimal"/>
      <w:pStyle w:val="Liste1"/>
      <w:lvlText w:val="%1"/>
      <w:lvlJc w:val="left"/>
      <w:pPr>
        <w:tabs>
          <w:tab w:val="num" w:pos="1494"/>
        </w:tabs>
        <w:ind w:left="1474" w:hanging="340"/>
      </w:pPr>
      <w:rPr>
        <w:rFonts w:hint="default"/>
      </w:rPr>
    </w:lvl>
    <w:lvl w:ilvl="1">
      <w:start w:val="1"/>
      <w:numFmt w:val="decimal"/>
      <w:lvlText w:val="%1.%2"/>
      <w:lvlJc w:val="left"/>
      <w:pPr>
        <w:tabs>
          <w:tab w:val="num" w:pos="1814"/>
        </w:tabs>
        <w:ind w:left="1814" w:hanging="680"/>
      </w:pPr>
      <w:rPr>
        <w:rFonts w:hint="default"/>
      </w:rPr>
    </w:lvl>
    <w:lvl w:ilvl="2">
      <w:start w:val="1"/>
      <w:numFmt w:val="decimal"/>
      <w:lvlText w:val="%1.%2.%3"/>
      <w:lvlJc w:val="left"/>
      <w:pPr>
        <w:tabs>
          <w:tab w:val="num" w:pos="2155"/>
        </w:tabs>
        <w:ind w:left="2155" w:hanging="1021"/>
      </w:pPr>
      <w:rPr>
        <w:rFonts w:hint="default"/>
      </w:rPr>
    </w:lvl>
    <w:lvl w:ilvl="3">
      <w:start w:val="1"/>
      <w:numFmt w:val="decimal"/>
      <w:lvlText w:val="%1.%2.%3.%4"/>
      <w:lvlJc w:val="left"/>
      <w:pPr>
        <w:tabs>
          <w:tab w:val="num" w:pos="2495"/>
        </w:tabs>
        <w:ind w:left="2495" w:hanging="1361"/>
      </w:pPr>
      <w:rPr>
        <w:rFonts w:hint="default"/>
      </w:rPr>
    </w:lvl>
    <w:lvl w:ilvl="4">
      <w:start w:val="1"/>
      <w:numFmt w:val="decimal"/>
      <w:lvlText w:val="%1.%2.%3.%4.%5"/>
      <w:lvlJc w:val="left"/>
      <w:pPr>
        <w:tabs>
          <w:tab w:val="num" w:pos="2214"/>
        </w:tabs>
        <w:ind w:left="1134" w:firstLine="0"/>
      </w:pPr>
      <w:rPr>
        <w:rFonts w:hint="default"/>
      </w:rPr>
    </w:lvl>
    <w:lvl w:ilvl="5">
      <w:start w:val="1"/>
      <w:numFmt w:val="decimal"/>
      <w:lvlText w:val="%1.%2.%3.%4.%5.%6"/>
      <w:lvlJc w:val="left"/>
      <w:pPr>
        <w:tabs>
          <w:tab w:val="num" w:pos="1134"/>
        </w:tabs>
        <w:ind w:left="1134" w:firstLine="0"/>
      </w:pPr>
      <w:rPr>
        <w:rFonts w:hint="default"/>
      </w:rPr>
    </w:lvl>
    <w:lvl w:ilvl="6">
      <w:start w:val="1"/>
      <w:numFmt w:val="decimal"/>
      <w:lvlText w:val="%1.%2.%3.%4.%5.%6.%7"/>
      <w:lvlJc w:val="left"/>
      <w:pPr>
        <w:tabs>
          <w:tab w:val="num" w:pos="1134"/>
        </w:tabs>
        <w:ind w:left="1134" w:firstLine="0"/>
      </w:pPr>
      <w:rPr>
        <w:rFonts w:hint="default"/>
      </w:rPr>
    </w:lvl>
    <w:lvl w:ilvl="7">
      <w:start w:val="1"/>
      <w:numFmt w:val="decimal"/>
      <w:lvlText w:val="%1.%2.%3.%4.%5.%6.%7.%8"/>
      <w:lvlJc w:val="left"/>
      <w:pPr>
        <w:tabs>
          <w:tab w:val="num" w:pos="1134"/>
        </w:tabs>
        <w:ind w:left="1134" w:firstLine="0"/>
      </w:pPr>
      <w:rPr>
        <w:rFonts w:hint="default"/>
      </w:rPr>
    </w:lvl>
    <w:lvl w:ilvl="8">
      <w:start w:val="1"/>
      <w:numFmt w:val="decimal"/>
      <w:lvlText w:val="%1.%2.%3.%4.%5.%6.%7.%8.%9"/>
      <w:lvlJc w:val="left"/>
      <w:pPr>
        <w:tabs>
          <w:tab w:val="num" w:pos="1134"/>
        </w:tabs>
        <w:ind w:left="1134" w:firstLine="0"/>
      </w:pPr>
      <w:rPr>
        <w:rFonts w:hint="default"/>
      </w:rPr>
    </w:lvl>
  </w:abstractNum>
  <w:abstractNum w:abstractNumId="65" w15:restartNumberingAfterBreak="0">
    <w:nsid w:val="7B485719"/>
    <w:multiLevelType w:val="hybridMultilevel"/>
    <w:tmpl w:val="3888187A"/>
    <w:lvl w:ilvl="0" w:tplc="99FE3902">
      <w:start w:val="1"/>
      <w:numFmt w:val="bullet"/>
      <w:lvlText w:val=""/>
      <w:lvlJc w:val="left"/>
      <w:pPr>
        <w:ind w:left="720" w:hanging="360"/>
      </w:pPr>
      <w:rPr>
        <w:rFonts w:ascii="Tahoma" w:hAnsi="Tahoma"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BA58DE"/>
    <w:multiLevelType w:val="hybridMultilevel"/>
    <w:tmpl w:val="166A4720"/>
    <w:lvl w:ilvl="0" w:tplc="BE5660C0">
      <w:start w:val="1"/>
      <w:numFmt w:val="bullet"/>
      <w:lvlText w:val=""/>
      <w:lvlJc w:val="left"/>
      <w:pPr>
        <w:ind w:left="720" w:hanging="360"/>
      </w:pPr>
      <w:rPr>
        <w:rFonts w:ascii="Wingdings" w:hAnsi="Wingdings" w:hint="default"/>
        <w:color w:val="000000" w:themeColor="text1"/>
        <w:u w:color="45618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45252D"/>
    <w:multiLevelType w:val="hybridMultilevel"/>
    <w:tmpl w:val="DE2CD2DA"/>
    <w:lvl w:ilvl="0" w:tplc="99FE3902">
      <w:start w:val="1"/>
      <w:numFmt w:val="bullet"/>
      <w:lvlText w:val=""/>
      <w:lvlJc w:val="left"/>
      <w:pPr>
        <w:ind w:left="720" w:hanging="360"/>
      </w:pPr>
      <w:rPr>
        <w:rFonts w:ascii="Tahoma" w:hAnsi="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4"/>
  </w:num>
  <w:num w:numId="3">
    <w:abstractNumId w:val="35"/>
  </w:num>
  <w:num w:numId="4">
    <w:abstractNumId w:val="12"/>
  </w:num>
  <w:num w:numId="5">
    <w:abstractNumId w:val="31"/>
  </w:num>
  <w:num w:numId="6">
    <w:abstractNumId w:val="28"/>
  </w:num>
  <w:num w:numId="7">
    <w:abstractNumId w:val="3"/>
  </w:num>
  <w:num w:numId="8">
    <w:abstractNumId w:val="2"/>
  </w:num>
  <w:num w:numId="9">
    <w:abstractNumId w:val="45"/>
  </w:num>
  <w:num w:numId="10">
    <w:abstractNumId w:val="9"/>
  </w:num>
  <w:num w:numId="11">
    <w:abstractNumId w:val="25"/>
  </w:num>
  <w:num w:numId="12">
    <w:abstractNumId w:val="4"/>
  </w:num>
  <w:num w:numId="13">
    <w:abstractNumId w:val="51"/>
  </w:num>
  <w:num w:numId="14">
    <w:abstractNumId w:val="5"/>
  </w:num>
  <w:num w:numId="15">
    <w:abstractNumId w:val="38"/>
  </w:num>
  <w:num w:numId="16">
    <w:abstractNumId w:val="41"/>
  </w:num>
  <w:num w:numId="17">
    <w:abstractNumId w:val="49"/>
  </w:num>
  <w:num w:numId="18">
    <w:abstractNumId w:val="66"/>
  </w:num>
  <w:num w:numId="19">
    <w:abstractNumId w:val="59"/>
  </w:num>
  <w:num w:numId="20">
    <w:abstractNumId w:val="14"/>
  </w:num>
  <w:num w:numId="21">
    <w:abstractNumId w:val="30"/>
  </w:num>
  <w:num w:numId="22">
    <w:abstractNumId w:val="16"/>
  </w:num>
  <w:num w:numId="23">
    <w:abstractNumId w:val="22"/>
  </w:num>
  <w:num w:numId="24">
    <w:abstractNumId w:val="17"/>
  </w:num>
  <w:num w:numId="25">
    <w:abstractNumId w:val="48"/>
  </w:num>
  <w:num w:numId="26">
    <w:abstractNumId w:val="15"/>
  </w:num>
  <w:num w:numId="27">
    <w:abstractNumId w:val="56"/>
  </w:num>
  <w:num w:numId="28">
    <w:abstractNumId w:val="24"/>
  </w:num>
  <w:num w:numId="29">
    <w:abstractNumId w:val="40"/>
  </w:num>
  <w:num w:numId="30">
    <w:abstractNumId w:val="53"/>
  </w:num>
  <w:num w:numId="31">
    <w:abstractNumId w:val="52"/>
  </w:num>
  <w:num w:numId="32">
    <w:abstractNumId w:val="20"/>
  </w:num>
  <w:num w:numId="33">
    <w:abstractNumId w:val="44"/>
  </w:num>
  <w:num w:numId="34">
    <w:abstractNumId w:val="34"/>
  </w:num>
  <w:num w:numId="35">
    <w:abstractNumId w:val="46"/>
  </w:num>
  <w:num w:numId="36">
    <w:abstractNumId w:val="55"/>
  </w:num>
  <w:num w:numId="37">
    <w:abstractNumId w:val="62"/>
  </w:num>
  <w:num w:numId="38">
    <w:abstractNumId w:val="27"/>
  </w:num>
  <w:num w:numId="39">
    <w:abstractNumId w:val="29"/>
  </w:num>
  <w:num w:numId="40">
    <w:abstractNumId w:val="47"/>
  </w:num>
  <w:num w:numId="41">
    <w:abstractNumId w:val="13"/>
  </w:num>
  <w:num w:numId="42">
    <w:abstractNumId w:val="67"/>
  </w:num>
  <w:num w:numId="43">
    <w:abstractNumId w:val="61"/>
  </w:num>
  <w:num w:numId="44">
    <w:abstractNumId w:val="42"/>
  </w:num>
  <w:num w:numId="45">
    <w:abstractNumId w:val="60"/>
  </w:num>
  <w:num w:numId="46">
    <w:abstractNumId w:val="11"/>
  </w:num>
  <w:num w:numId="47">
    <w:abstractNumId w:val="58"/>
  </w:num>
  <w:num w:numId="48">
    <w:abstractNumId w:val="37"/>
  </w:num>
  <w:num w:numId="49">
    <w:abstractNumId w:val="32"/>
  </w:num>
  <w:num w:numId="50">
    <w:abstractNumId w:val="7"/>
  </w:num>
  <w:num w:numId="51">
    <w:abstractNumId w:val="6"/>
  </w:num>
  <w:num w:numId="52">
    <w:abstractNumId w:val="65"/>
  </w:num>
  <w:num w:numId="53">
    <w:abstractNumId w:val="18"/>
  </w:num>
  <w:num w:numId="54">
    <w:abstractNumId w:val="36"/>
  </w:num>
  <w:num w:numId="55">
    <w:abstractNumId w:val="23"/>
  </w:num>
  <w:num w:numId="56">
    <w:abstractNumId w:val="50"/>
  </w:num>
  <w:num w:numId="57">
    <w:abstractNumId w:val="63"/>
  </w:num>
  <w:num w:numId="58">
    <w:abstractNumId w:val="39"/>
  </w:num>
  <w:num w:numId="59">
    <w:abstractNumId w:val="19"/>
  </w:num>
  <w:num w:numId="60">
    <w:abstractNumId w:val="33"/>
  </w:num>
  <w:num w:numId="61">
    <w:abstractNumId w:val="43"/>
  </w:num>
  <w:num w:numId="62">
    <w:abstractNumId w:val="8"/>
  </w:num>
  <w:num w:numId="63">
    <w:abstractNumId w:val="1"/>
  </w:num>
  <w:num w:numId="64">
    <w:abstractNumId w:val="57"/>
  </w:num>
  <w:num w:numId="65">
    <w:abstractNumId w:val="10"/>
  </w:num>
  <w:num w:numId="66">
    <w:abstractNumId w:val="26"/>
  </w:num>
  <w:num w:numId="67">
    <w:abstractNumId w:val="0"/>
  </w:num>
  <w:num w:numId="68">
    <w:abstractNumId w:val="5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D88"/>
    <w:rsid w:val="000062F2"/>
    <w:rsid w:val="0001165F"/>
    <w:rsid w:val="000153FF"/>
    <w:rsid w:val="000330FE"/>
    <w:rsid w:val="00044DB0"/>
    <w:rsid w:val="00050B60"/>
    <w:rsid w:val="0005164D"/>
    <w:rsid w:val="000536DA"/>
    <w:rsid w:val="00053B26"/>
    <w:rsid w:val="000568AA"/>
    <w:rsid w:val="00057BCE"/>
    <w:rsid w:val="000A12FD"/>
    <w:rsid w:val="000B5B77"/>
    <w:rsid w:val="000D6960"/>
    <w:rsid w:val="000E0AB8"/>
    <w:rsid w:val="000E75D1"/>
    <w:rsid w:val="000F5C56"/>
    <w:rsid w:val="00114C43"/>
    <w:rsid w:val="00122DE6"/>
    <w:rsid w:val="0014491A"/>
    <w:rsid w:val="001658F0"/>
    <w:rsid w:val="00171F34"/>
    <w:rsid w:val="0017222B"/>
    <w:rsid w:val="00177832"/>
    <w:rsid w:val="00181EF6"/>
    <w:rsid w:val="00185711"/>
    <w:rsid w:val="001A1DCB"/>
    <w:rsid w:val="001A224B"/>
    <w:rsid w:val="001B250C"/>
    <w:rsid w:val="001B4873"/>
    <w:rsid w:val="001B7396"/>
    <w:rsid w:val="001D3007"/>
    <w:rsid w:val="001D4BD6"/>
    <w:rsid w:val="001F737A"/>
    <w:rsid w:val="00201927"/>
    <w:rsid w:val="002117B4"/>
    <w:rsid w:val="002169E1"/>
    <w:rsid w:val="00265D33"/>
    <w:rsid w:val="00283B79"/>
    <w:rsid w:val="00284D68"/>
    <w:rsid w:val="00290949"/>
    <w:rsid w:val="002948E3"/>
    <w:rsid w:val="002A0BDC"/>
    <w:rsid w:val="002C5BFB"/>
    <w:rsid w:val="002D2660"/>
    <w:rsid w:val="002F6EAD"/>
    <w:rsid w:val="0031721E"/>
    <w:rsid w:val="00336708"/>
    <w:rsid w:val="00352AE3"/>
    <w:rsid w:val="00354336"/>
    <w:rsid w:val="003610C2"/>
    <w:rsid w:val="00365C1A"/>
    <w:rsid w:val="003710FB"/>
    <w:rsid w:val="00380ED0"/>
    <w:rsid w:val="00381695"/>
    <w:rsid w:val="00391C33"/>
    <w:rsid w:val="003938C9"/>
    <w:rsid w:val="0039726A"/>
    <w:rsid w:val="003A1CE6"/>
    <w:rsid w:val="003C251F"/>
    <w:rsid w:val="003C2F9E"/>
    <w:rsid w:val="003C3F97"/>
    <w:rsid w:val="003E2910"/>
    <w:rsid w:val="00414163"/>
    <w:rsid w:val="00421D40"/>
    <w:rsid w:val="004264C1"/>
    <w:rsid w:val="00447F05"/>
    <w:rsid w:val="004539DE"/>
    <w:rsid w:val="00455F58"/>
    <w:rsid w:val="00477C31"/>
    <w:rsid w:val="00491623"/>
    <w:rsid w:val="004B4296"/>
    <w:rsid w:val="004C26D7"/>
    <w:rsid w:val="004D4374"/>
    <w:rsid w:val="004D4F3D"/>
    <w:rsid w:val="004F03D8"/>
    <w:rsid w:val="004F5976"/>
    <w:rsid w:val="00500FC1"/>
    <w:rsid w:val="00534F6E"/>
    <w:rsid w:val="005360F7"/>
    <w:rsid w:val="0054399A"/>
    <w:rsid w:val="00546597"/>
    <w:rsid w:val="005604FF"/>
    <w:rsid w:val="005642B4"/>
    <w:rsid w:val="00565452"/>
    <w:rsid w:val="00570DC1"/>
    <w:rsid w:val="00572B4B"/>
    <w:rsid w:val="005754E6"/>
    <w:rsid w:val="0058119D"/>
    <w:rsid w:val="005876B3"/>
    <w:rsid w:val="005A0001"/>
    <w:rsid w:val="005C76A2"/>
    <w:rsid w:val="005D6030"/>
    <w:rsid w:val="005F29CB"/>
    <w:rsid w:val="0061157B"/>
    <w:rsid w:val="0063437B"/>
    <w:rsid w:val="006365C0"/>
    <w:rsid w:val="00677057"/>
    <w:rsid w:val="0068011B"/>
    <w:rsid w:val="00682251"/>
    <w:rsid w:val="00685C8E"/>
    <w:rsid w:val="006A24F2"/>
    <w:rsid w:val="006A4E07"/>
    <w:rsid w:val="006B471D"/>
    <w:rsid w:val="006E7182"/>
    <w:rsid w:val="006F24B3"/>
    <w:rsid w:val="007055A1"/>
    <w:rsid w:val="007073AB"/>
    <w:rsid w:val="00712C83"/>
    <w:rsid w:val="00712D88"/>
    <w:rsid w:val="00713AFB"/>
    <w:rsid w:val="007148AF"/>
    <w:rsid w:val="007368BA"/>
    <w:rsid w:val="00753B32"/>
    <w:rsid w:val="007654EA"/>
    <w:rsid w:val="00772EF3"/>
    <w:rsid w:val="007752E1"/>
    <w:rsid w:val="00776A2E"/>
    <w:rsid w:val="0078755B"/>
    <w:rsid w:val="0079309B"/>
    <w:rsid w:val="007A5A28"/>
    <w:rsid w:val="007E1F0F"/>
    <w:rsid w:val="007E5596"/>
    <w:rsid w:val="00807B8E"/>
    <w:rsid w:val="008223AE"/>
    <w:rsid w:val="00855458"/>
    <w:rsid w:val="00855CC4"/>
    <w:rsid w:val="008B242A"/>
    <w:rsid w:val="008C79CC"/>
    <w:rsid w:val="00914CCC"/>
    <w:rsid w:val="00932AF5"/>
    <w:rsid w:val="009353A6"/>
    <w:rsid w:val="00935A95"/>
    <w:rsid w:val="00943B69"/>
    <w:rsid w:val="00973EE7"/>
    <w:rsid w:val="0098610A"/>
    <w:rsid w:val="00992E94"/>
    <w:rsid w:val="00997D1B"/>
    <w:rsid w:val="009B19DB"/>
    <w:rsid w:val="009C5D0D"/>
    <w:rsid w:val="009F6AA6"/>
    <w:rsid w:val="00A75F9A"/>
    <w:rsid w:val="00A851D0"/>
    <w:rsid w:val="00A90CBF"/>
    <w:rsid w:val="00AB09AC"/>
    <w:rsid w:val="00AB60BC"/>
    <w:rsid w:val="00AB6AEC"/>
    <w:rsid w:val="00AE375F"/>
    <w:rsid w:val="00AE435B"/>
    <w:rsid w:val="00AF643F"/>
    <w:rsid w:val="00B01E26"/>
    <w:rsid w:val="00B15BCD"/>
    <w:rsid w:val="00B21CA4"/>
    <w:rsid w:val="00B323CC"/>
    <w:rsid w:val="00B36F81"/>
    <w:rsid w:val="00B43B0E"/>
    <w:rsid w:val="00B451C1"/>
    <w:rsid w:val="00B452FF"/>
    <w:rsid w:val="00B46124"/>
    <w:rsid w:val="00B56E96"/>
    <w:rsid w:val="00BA5F8E"/>
    <w:rsid w:val="00BA6CD6"/>
    <w:rsid w:val="00BC25BC"/>
    <w:rsid w:val="00BC5A9F"/>
    <w:rsid w:val="00BD7C26"/>
    <w:rsid w:val="00C032A3"/>
    <w:rsid w:val="00C14C28"/>
    <w:rsid w:val="00C15399"/>
    <w:rsid w:val="00C167A8"/>
    <w:rsid w:val="00C358A3"/>
    <w:rsid w:val="00C42270"/>
    <w:rsid w:val="00C42DB5"/>
    <w:rsid w:val="00C84376"/>
    <w:rsid w:val="00C84994"/>
    <w:rsid w:val="00C86440"/>
    <w:rsid w:val="00C90891"/>
    <w:rsid w:val="00CA512A"/>
    <w:rsid w:val="00CD6A58"/>
    <w:rsid w:val="00CF33B2"/>
    <w:rsid w:val="00D10E33"/>
    <w:rsid w:val="00D1577C"/>
    <w:rsid w:val="00D2183F"/>
    <w:rsid w:val="00D330FA"/>
    <w:rsid w:val="00D40582"/>
    <w:rsid w:val="00D46273"/>
    <w:rsid w:val="00D653B0"/>
    <w:rsid w:val="00D7274B"/>
    <w:rsid w:val="00D75BC8"/>
    <w:rsid w:val="00DA3A77"/>
    <w:rsid w:val="00DA676B"/>
    <w:rsid w:val="00DB136A"/>
    <w:rsid w:val="00DB7EA7"/>
    <w:rsid w:val="00DD1BFB"/>
    <w:rsid w:val="00E07F07"/>
    <w:rsid w:val="00E23223"/>
    <w:rsid w:val="00E27C67"/>
    <w:rsid w:val="00E34D4C"/>
    <w:rsid w:val="00E706B2"/>
    <w:rsid w:val="00E827EA"/>
    <w:rsid w:val="00EB3162"/>
    <w:rsid w:val="00EB6F71"/>
    <w:rsid w:val="00EC1113"/>
    <w:rsid w:val="00ED2CFC"/>
    <w:rsid w:val="00EE1AE3"/>
    <w:rsid w:val="00EE52E2"/>
    <w:rsid w:val="00EE6AE1"/>
    <w:rsid w:val="00EE6D67"/>
    <w:rsid w:val="00EF5558"/>
    <w:rsid w:val="00F03CF8"/>
    <w:rsid w:val="00F05E63"/>
    <w:rsid w:val="00F11540"/>
    <w:rsid w:val="00F12679"/>
    <w:rsid w:val="00F37B15"/>
    <w:rsid w:val="00F40FCC"/>
    <w:rsid w:val="00F45F2D"/>
    <w:rsid w:val="00F7397C"/>
    <w:rsid w:val="00F8739C"/>
    <w:rsid w:val="00FC3ADD"/>
    <w:rsid w:val="00FF071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0732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US"/>
    </w:rPr>
  </w:style>
  <w:style w:type="paragraph" w:styleId="Heading1">
    <w:name w:val="heading 1"/>
    <w:basedOn w:val="Normal"/>
    <w:next w:val="Normal"/>
    <w:link w:val="Heading1Char"/>
    <w:qFormat/>
    <w:rsid w:val="00685C8E"/>
    <w:pPr>
      <w:widowControl w:val="0"/>
      <w:numPr>
        <w:numId w:val="1"/>
      </w:numPr>
      <w:spacing w:after="120" w:line="360" w:lineRule="auto"/>
      <w:outlineLvl w:val="0"/>
    </w:pPr>
    <w:rPr>
      <w:rFonts w:eastAsia="Calibri" w:cs="Arial"/>
      <w:color w:val="000000" w:themeColor="text1"/>
      <w:lang w:eastAsia="de-DE"/>
    </w:rPr>
  </w:style>
  <w:style w:type="paragraph" w:styleId="Heading2">
    <w:name w:val="heading 2"/>
    <w:basedOn w:val="Heading1"/>
    <w:next w:val="Normal"/>
    <w:link w:val="Heading2Char"/>
    <w:autoRedefine/>
    <w:qFormat/>
    <w:rsid w:val="00685C8E"/>
    <w:pPr>
      <w:numPr>
        <w:numId w:val="0"/>
      </w:numPr>
      <w:jc w:val="both"/>
      <w:outlineLvl w:val="1"/>
    </w:pPr>
    <w:rPr>
      <w:rFonts w:cs="Menlo Regula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D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712D88"/>
  </w:style>
  <w:style w:type="paragraph" w:styleId="Footer">
    <w:name w:val="footer"/>
    <w:basedOn w:val="Normal"/>
    <w:link w:val="FooterChar"/>
    <w:uiPriority w:val="99"/>
    <w:unhideWhenUsed/>
    <w:rsid w:val="00712D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12D88"/>
  </w:style>
  <w:style w:type="character" w:styleId="PlaceholderText">
    <w:name w:val="Placeholder Text"/>
    <w:basedOn w:val="DefaultParagraphFont"/>
    <w:uiPriority w:val="99"/>
    <w:semiHidden/>
    <w:rsid w:val="00CA512A"/>
    <w:rPr>
      <w:color w:val="808080"/>
    </w:rPr>
  </w:style>
  <w:style w:type="paragraph" w:styleId="Title">
    <w:name w:val="Title"/>
    <w:basedOn w:val="Normal"/>
    <w:next w:val="Normal"/>
    <w:link w:val="TitleChar"/>
    <w:uiPriority w:val="10"/>
    <w:qFormat/>
    <w:rsid w:val="00171F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F34"/>
    <w:rPr>
      <w:rFonts w:asciiTheme="majorHAnsi" w:eastAsiaTheme="majorEastAsia" w:hAnsiTheme="majorHAnsi" w:cstheme="majorBidi"/>
      <w:spacing w:val="-10"/>
      <w:kern w:val="28"/>
      <w:sz w:val="56"/>
      <w:szCs w:val="56"/>
    </w:rPr>
  </w:style>
  <w:style w:type="paragraph" w:customStyle="1" w:styleId="Normal1">
    <w:name w:val="Normal1"/>
    <w:link w:val="Normal1Char"/>
    <w:rsid w:val="00171F34"/>
    <w:pPr>
      <w:widowControl w:val="0"/>
      <w:spacing w:after="0" w:line="240" w:lineRule="auto"/>
    </w:pPr>
    <w:rPr>
      <w:rFonts w:ascii="Calibri" w:eastAsia="Calibri" w:hAnsi="Calibri" w:cs="Calibri"/>
      <w:color w:val="000000"/>
      <w:szCs w:val="20"/>
      <w:lang w:eastAsia="de-DE"/>
    </w:rPr>
  </w:style>
  <w:style w:type="character" w:customStyle="1" w:styleId="Normal1Char">
    <w:name w:val="Normal1 Char"/>
    <w:basedOn w:val="DefaultParagraphFont"/>
    <w:link w:val="Normal1"/>
    <w:rsid w:val="00171F34"/>
    <w:rPr>
      <w:rFonts w:ascii="Calibri" w:eastAsia="Calibri" w:hAnsi="Calibri" w:cs="Calibri"/>
      <w:color w:val="000000"/>
      <w:szCs w:val="20"/>
      <w:lang w:eastAsia="de-DE"/>
    </w:rPr>
  </w:style>
  <w:style w:type="paragraph" w:customStyle="1" w:styleId="Headerunnumbered">
    <w:name w:val="Header unnumbered"/>
    <w:basedOn w:val="Normal"/>
    <w:next w:val="Normal"/>
    <w:rsid w:val="001A224B"/>
    <w:pPr>
      <w:widowControl w:val="0"/>
      <w:spacing w:before="800" w:after="240" w:line="240" w:lineRule="auto"/>
      <w:ind w:left="426"/>
    </w:pPr>
    <w:rPr>
      <w:rFonts w:ascii="Calibri" w:eastAsia="Calibri" w:hAnsi="Calibri" w:cs="Calibri"/>
      <w:b/>
      <w:color w:val="003366"/>
      <w:sz w:val="32"/>
      <w:lang w:eastAsia="de-DE"/>
    </w:rPr>
  </w:style>
  <w:style w:type="paragraph" w:customStyle="1" w:styleId="PaperTable-Row">
    <w:name w:val="Paper Table - Row"/>
    <w:basedOn w:val="Normal"/>
    <w:autoRedefine/>
    <w:rsid w:val="001A224B"/>
    <w:pPr>
      <w:widowControl w:val="0"/>
      <w:spacing w:before="80" w:after="40" w:line="240" w:lineRule="auto"/>
      <w:ind w:left="72"/>
    </w:pPr>
    <w:rPr>
      <w:rFonts w:ascii="Calibri" w:eastAsia="Calibri" w:hAnsi="Calibri" w:cs="Calibri"/>
      <w:lang w:eastAsia="de-DE"/>
    </w:rPr>
  </w:style>
  <w:style w:type="paragraph" w:customStyle="1" w:styleId="PaperTable-TitleRow">
    <w:name w:val="Paper Table - Title Row"/>
    <w:basedOn w:val="PaperTable-Row"/>
    <w:autoRedefine/>
    <w:rsid w:val="001A224B"/>
    <w:rPr>
      <w:b/>
    </w:rPr>
  </w:style>
  <w:style w:type="paragraph" w:styleId="NoSpacing">
    <w:name w:val="No Spacing"/>
    <w:uiPriority w:val="1"/>
    <w:qFormat/>
    <w:rsid w:val="001A224B"/>
    <w:pPr>
      <w:spacing w:after="0" w:line="240" w:lineRule="auto"/>
    </w:pPr>
  </w:style>
  <w:style w:type="character" w:customStyle="1" w:styleId="Heading1Char">
    <w:name w:val="Heading 1 Char"/>
    <w:basedOn w:val="DefaultParagraphFont"/>
    <w:link w:val="Heading1"/>
    <w:rsid w:val="00685C8E"/>
    <w:rPr>
      <w:rFonts w:eastAsia="Calibri" w:cs="Arial"/>
      <w:color w:val="000000" w:themeColor="text1"/>
      <w:lang w:val="en-US" w:eastAsia="de-DE"/>
    </w:rPr>
  </w:style>
  <w:style w:type="character" w:customStyle="1" w:styleId="Heading2Char">
    <w:name w:val="Heading 2 Char"/>
    <w:basedOn w:val="DefaultParagraphFont"/>
    <w:link w:val="Heading2"/>
    <w:rsid w:val="00685C8E"/>
    <w:rPr>
      <w:rFonts w:eastAsia="Calibri" w:cs="Menlo Regular"/>
      <w:bCs/>
      <w:color w:val="000000" w:themeColor="text1"/>
      <w:lang w:val="en-US" w:eastAsia="de-DE"/>
    </w:rPr>
  </w:style>
  <w:style w:type="paragraph" w:styleId="ListParagraph">
    <w:name w:val="List Paragraph"/>
    <w:basedOn w:val="Normal"/>
    <w:uiPriority w:val="34"/>
    <w:qFormat/>
    <w:rsid w:val="001A224B"/>
    <w:pPr>
      <w:widowControl w:val="0"/>
      <w:spacing w:after="0" w:line="240" w:lineRule="auto"/>
      <w:ind w:left="720"/>
      <w:contextualSpacing/>
    </w:pPr>
    <w:rPr>
      <w:rFonts w:ascii="Calibri" w:eastAsia="Calibri" w:hAnsi="Calibri" w:cs="Calibri"/>
      <w:color w:val="000000"/>
      <w:lang w:eastAsia="de-DE"/>
    </w:rPr>
  </w:style>
  <w:style w:type="paragraph" w:customStyle="1" w:styleId="Liste1">
    <w:name w:val="Liste1"/>
    <w:basedOn w:val="Normal"/>
    <w:rsid w:val="00B01E26"/>
    <w:pPr>
      <w:widowControl w:val="0"/>
      <w:numPr>
        <w:numId w:val="2"/>
      </w:numPr>
      <w:tabs>
        <w:tab w:val="left" w:pos="1814"/>
        <w:tab w:val="left" w:pos="2155"/>
        <w:tab w:val="left" w:pos="2495"/>
      </w:tabs>
      <w:spacing w:after="100" w:line="240" w:lineRule="auto"/>
    </w:pPr>
    <w:rPr>
      <w:rFonts w:ascii="Calibri" w:eastAsia="Calibri" w:hAnsi="Calibri" w:cs="Calibri"/>
      <w:color w:val="000000"/>
      <w:lang w:eastAsia="de-DE"/>
    </w:rPr>
  </w:style>
  <w:style w:type="paragraph" w:customStyle="1" w:styleId="Bodytext">
    <w:name w:val="Bodytext"/>
    <w:basedOn w:val="Normal"/>
    <w:rsid w:val="00B01E26"/>
    <w:pPr>
      <w:widowControl w:val="0"/>
      <w:spacing w:after="0" w:line="240" w:lineRule="auto"/>
      <w:ind w:left="426"/>
    </w:pPr>
    <w:rPr>
      <w:rFonts w:ascii="Calibri" w:eastAsia="Calibri" w:hAnsi="Calibri" w:cs="Calibri"/>
      <w:color w:val="000000"/>
      <w:lang w:eastAsia="de-DE"/>
    </w:rPr>
  </w:style>
  <w:style w:type="paragraph" w:styleId="TOCHeading">
    <w:name w:val="TOC Heading"/>
    <w:basedOn w:val="Heading1"/>
    <w:next w:val="Normal"/>
    <w:uiPriority w:val="39"/>
    <w:unhideWhenUsed/>
    <w:qFormat/>
    <w:rsid w:val="00C032A3"/>
    <w:pPr>
      <w:keepNext/>
      <w:keepLines/>
      <w:widowControl/>
      <w:numPr>
        <w:numId w:val="0"/>
      </w:numPr>
      <w:spacing w:before="240" w:after="0" w:line="259" w:lineRule="auto"/>
      <w:outlineLvl w:val="9"/>
    </w:pPr>
    <w:rPr>
      <w:rFonts w:eastAsiaTheme="majorEastAsia" w:cstheme="majorBidi"/>
      <w:b/>
      <w:color w:val="2E74B5" w:themeColor="accent1" w:themeShade="BF"/>
      <w:szCs w:val="32"/>
      <w:lang w:val="de-DE"/>
    </w:rPr>
  </w:style>
  <w:style w:type="paragraph" w:styleId="TOC1">
    <w:name w:val="toc 1"/>
    <w:basedOn w:val="Normal"/>
    <w:next w:val="Normal"/>
    <w:autoRedefine/>
    <w:uiPriority w:val="39"/>
    <w:unhideWhenUsed/>
    <w:rsid w:val="00DB7EA7"/>
    <w:pPr>
      <w:tabs>
        <w:tab w:val="left" w:pos="440"/>
        <w:tab w:val="right" w:leader="dot" w:pos="9346"/>
      </w:tabs>
      <w:spacing w:before="120" w:after="0"/>
    </w:pPr>
  </w:style>
  <w:style w:type="paragraph" w:styleId="TOC2">
    <w:name w:val="toc 2"/>
    <w:basedOn w:val="Normal"/>
    <w:next w:val="Normal"/>
    <w:autoRedefine/>
    <w:uiPriority w:val="39"/>
    <w:unhideWhenUsed/>
    <w:rsid w:val="00C032A3"/>
    <w:pPr>
      <w:tabs>
        <w:tab w:val="left" w:pos="880"/>
        <w:tab w:val="right" w:leader="dot" w:pos="9346"/>
      </w:tabs>
      <w:spacing w:after="0"/>
      <w:ind w:left="221"/>
    </w:pPr>
  </w:style>
  <w:style w:type="character" w:styleId="Hyperlink">
    <w:name w:val="Hyperlink"/>
    <w:basedOn w:val="DefaultParagraphFont"/>
    <w:uiPriority w:val="99"/>
    <w:unhideWhenUsed/>
    <w:rsid w:val="00C032A3"/>
    <w:rPr>
      <w:color w:val="0563C1" w:themeColor="hyperlink"/>
      <w:u w:val="single"/>
    </w:rPr>
  </w:style>
  <w:style w:type="paragraph" w:styleId="BalloonText">
    <w:name w:val="Balloon Text"/>
    <w:basedOn w:val="Normal"/>
    <w:link w:val="BalloonTextChar"/>
    <w:uiPriority w:val="99"/>
    <w:semiHidden/>
    <w:unhideWhenUsed/>
    <w:rsid w:val="00572B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B4B"/>
    <w:rPr>
      <w:rFonts w:ascii="Segoe UI" w:hAnsi="Segoe UI" w:cs="Segoe UI"/>
      <w:sz w:val="18"/>
      <w:szCs w:val="18"/>
    </w:rPr>
  </w:style>
  <w:style w:type="paragraph" w:styleId="DocumentMap">
    <w:name w:val="Document Map"/>
    <w:basedOn w:val="Normal"/>
    <w:link w:val="DocumentMapChar"/>
    <w:uiPriority w:val="99"/>
    <w:semiHidden/>
    <w:unhideWhenUsed/>
    <w:rsid w:val="00177832"/>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77832"/>
    <w:rPr>
      <w:rFonts w:ascii="Times New Roman" w:hAnsi="Times New Roman" w:cs="Times New Roman"/>
      <w:sz w:val="24"/>
      <w:szCs w:val="24"/>
    </w:rPr>
  </w:style>
  <w:style w:type="paragraph" w:customStyle="1" w:styleId="p1">
    <w:name w:val="p1"/>
    <w:basedOn w:val="Normal"/>
    <w:rsid w:val="00EF5558"/>
    <w:pPr>
      <w:spacing w:after="0" w:line="240" w:lineRule="auto"/>
    </w:pPr>
    <w:rPr>
      <w:rFonts w:ascii="Helvetica" w:hAnsi="Helvetica" w:cs="Times New Roman"/>
      <w:sz w:val="15"/>
      <w:szCs w:val="15"/>
    </w:rPr>
  </w:style>
  <w:style w:type="character" w:customStyle="1" w:styleId="apple-converted-space">
    <w:name w:val="apple-converted-space"/>
    <w:basedOn w:val="DefaultParagraphFont"/>
    <w:rsid w:val="00EF5558"/>
  </w:style>
  <w:style w:type="paragraph" w:styleId="BodyText0">
    <w:name w:val="Body Text"/>
    <w:basedOn w:val="Normal"/>
    <w:link w:val="BodyTextChar"/>
    <w:uiPriority w:val="1"/>
    <w:qFormat/>
    <w:rsid w:val="005F29CB"/>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0"/>
    <w:uiPriority w:val="1"/>
    <w:rsid w:val="005F29CB"/>
    <w:rPr>
      <w:rFonts w:ascii="Arial" w:eastAsia="Arial" w:hAnsi="Arial" w:cs="Arial"/>
      <w:sz w:val="19"/>
      <w:szCs w:val="19"/>
      <w:lang w:val="en-US"/>
    </w:rPr>
  </w:style>
  <w:style w:type="paragraph" w:customStyle="1" w:styleId="1Heading3">
    <w:name w:val="1. Heading 3"/>
    <w:basedOn w:val="Heading2"/>
    <w:qFormat/>
    <w:rsid w:val="006365C0"/>
    <w:pPr>
      <w:jc w:val="left"/>
    </w:pPr>
    <w:rPr>
      <w:rFonts w:cs="Times"/>
      <w:sz w:val="24"/>
      <w:szCs w:val="28"/>
    </w:rPr>
  </w:style>
  <w:style w:type="paragraph" w:customStyle="1" w:styleId="Header-1Page">
    <w:name w:val="Header -1 Page"/>
    <w:basedOn w:val="Normal"/>
    <w:next w:val="Normal"/>
    <w:rsid w:val="004B4296"/>
    <w:pPr>
      <w:widowControl w:val="0"/>
      <w:spacing w:before="800" w:after="240" w:line="240" w:lineRule="auto"/>
      <w:ind w:left="426"/>
    </w:pPr>
    <w:rPr>
      <w:rFonts w:ascii="Calibri" w:eastAsia="Calibri" w:hAnsi="Calibri" w:cs="Calibri"/>
      <w:b/>
      <w:color w:val="003366"/>
      <w:sz w:val="32"/>
      <w:lang w:eastAsia="de-DE"/>
    </w:rPr>
  </w:style>
  <w:style w:type="table" w:styleId="TableGrid">
    <w:name w:val="Table Grid"/>
    <w:basedOn w:val="TableNormal"/>
    <w:uiPriority w:val="39"/>
    <w:rsid w:val="00C14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
    <w:name w:val="Answer"/>
    <w:basedOn w:val="Normal"/>
    <w:qFormat/>
    <w:rsid w:val="00C14C28"/>
    <w:pPr>
      <w:pBdr>
        <w:top w:val="dotted" w:sz="4" w:space="1" w:color="auto"/>
        <w:left w:val="dotted" w:sz="4" w:space="4" w:color="auto"/>
        <w:bottom w:val="dotted" w:sz="4" w:space="1" w:color="auto"/>
        <w:right w:val="dotted" w:sz="4" w:space="4" w:color="auto"/>
      </w:pBdr>
      <w:spacing w:line="360" w:lineRule="auto"/>
    </w:pPr>
  </w:style>
  <w:style w:type="paragraph" w:customStyle="1" w:styleId="Default">
    <w:name w:val="Default"/>
    <w:rsid w:val="0068011B"/>
    <w:pPr>
      <w:autoSpaceDE w:val="0"/>
      <w:autoSpaceDN w:val="0"/>
      <w:adjustRightInd w:val="0"/>
      <w:spacing w:after="0" w:line="240" w:lineRule="auto"/>
    </w:pPr>
    <w:rPr>
      <w:rFonts w:ascii="Georgia" w:eastAsia="Calibri" w:hAnsi="Georgia" w:cs="Georgia"/>
      <w:color w:val="000000"/>
      <w:sz w:val="24"/>
      <w:szCs w:val="24"/>
      <w:lang w:val="en-US"/>
    </w:rPr>
  </w:style>
  <w:style w:type="character" w:styleId="CommentReference">
    <w:name w:val="annotation reference"/>
    <w:basedOn w:val="DefaultParagraphFont"/>
    <w:uiPriority w:val="99"/>
    <w:semiHidden/>
    <w:unhideWhenUsed/>
    <w:rsid w:val="00EB3162"/>
    <w:rPr>
      <w:sz w:val="16"/>
      <w:szCs w:val="16"/>
    </w:rPr>
  </w:style>
  <w:style w:type="paragraph" w:styleId="CommentText">
    <w:name w:val="annotation text"/>
    <w:basedOn w:val="Normal"/>
    <w:link w:val="CommentTextChar"/>
    <w:uiPriority w:val="99"/>
    <w:semiHidden/>
    <w:unhideWhenUsed/>
    <w:rsid w:val="00EB316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B3162"/>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semiHidden/>
    <w:unhideWhenUsed/>
    <w:rsid w:val="00EB3162"/>
    <w:pPr>
      <w:spacing w:after="0" w:line="240" w:lineRule="auto"/>
    </w:pPr>
    <w:rPr>
      <w:rFonts w:eastAsia="SimSun"/>
      <w:sz w:val="20"/>
      <w:szCs w:val="20"/>
      <w:lang w:val="de-DE"/>
    </w:rPr>
  </w:style>
  <w:style w:type="character" w:customStyle="1" w:styleId="FootnoteTextChar">
    <w:name w:val="Footnote Text Char"/>
    <w:basedOn w:val="DefaultParagraphFont"/>
    <w:link w:val="FootnoteText"/>
    <w:uiPriority w:val="99"/>
    <w:semiHidden/>
    <w:rsid w:val="00EB3162"/>
    <w:rPr>
      <w:rFonts w:eastAsia="SimSun"/>
      <w:sz w:val="20"/>
      <w:szCs w:val="20"/>
    </w:rPr>
  </w:style>
  <w:style w:type="character" w:styleId="FootnoteReference">
    <w:name w:val="footnote reference"/>
    <w:basedOn w:val="DefaultParagraphFont"/>
    <w:uiPriority w:val="99"/>
    <w:semiHidden/>
    <w:unhideWhenUsed/>
    <w:rsid w:val="00EB3162"/>
    <w:rPr>
      <w:vertAlign w:val="superscript"/>
    </w:rPr>
  </w:style>
  <w:style w:type="character" w:styleId="UnresolvedMention">
    <w:name w:val="Unresolved Mention"/>
    <w:basedOn w:val="DefaultParagraphFont"/>
    <w:uiPriority w:val="99"/>
    <w:rsid w:val="00EB3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339295">
      <w:bodyDiv w:val="1"/>
      <w:marLeft w:val="0"/>
      <w:marRight w:val="0"/>
      <w:marTop w:val="0"/>
      <w:marBottom w:val="0"/>
      <w:divBdr>
        <w:top w:val="none" w:sz="0" w:space="0" w:color="auto"/>
        <w:left w:val="none" w:sz="0" w:space="0" w:color="auto"/>
        <w:bottom w:val="none" w:sz="0" w:space="0" w:color="auto"/>
        <w:right w:val="none" w:sz="0" w:space="0" w:color="auto"/>
      </w:divBdr>
    </w:div>
    <w:div w:id="471488371">
      <w:bodyDiv w:val="1"/>
      <w:marLeft w:val="0"/>
      <w:marRight w:val="0"/>
      <w:marTop w:val="0"/>
      <w:marBottom w:val="0"/>
      <w:divBdr>
        <w:top w:val="none" w:sz="0" w:space="0" w:color="auto"/>
        <w:left w:val="none" w:sz="0" w:space="0" w:color="auto"/>
        <w:bottom w:val="none" w:sz="0" w:space="0" w:color="auto"/>
        <w:right w:val="none" w:sz="0" w:space="0" w:color="auto"/>
      </w:divBdr>
    </w:div>
    <w:div w:id="819347612">
      <w:bodyDiv w:val="1"/>
      <w:marLeft w:val="0"/>
      <w:marRight w:val="0"/>
      <w:marTop w:val="0"/>
      <w:marBottom w:val="0"/>
      <w:divBdr>
        <w:top w:val="none" w:sz="0" w:space="0" w:color="auto"/>
        <w:left w:val="none" w:sz="0" w:space="0" w:color="auto"/>
        <w:bottom w:val="none" w:sz="0" w:space="0" w:color="auto"/>
        <w:right w:val="none" w:sz="0" w:space="0" w:color="auto"/>
      </w:divBdr>
    </w:div>
    <w:div w:id="1192376181">
      <w:bodyDiv w:val="1"/>
      <w:marLeft w:val="0"/>
      <w:marRight w:val="0"/>
      <w:marTop w:val="0"/>
      <w:marBottom w:val="0"/>
      <w:divBdr>
        <w:top w:val="none" w:sz="0" w:space="0" w:color="auto"/>
        <w:left w:val="none" w:sz="0" w:space="0" w:color="auto"/>
        <w:bottom w:val="none" w:sz="0" w:space="0" w:color="auto"/>
        <w:right w:val="none" w:sz="0" w:space="0" w:color="auto"/>
      </w:divBdr>
    </w:div>
    <w:div w:id="1382289039">
      <w:bodyDiv w:val="1"/>
      <w:marLeft w:val="0"/>
      <w:marRight w:val="0"/>
      <w:marTop w:val="0"/>
      <w:marBottom w:val="0"/>
      <w:divBdr>
        <w:top w:val="none" w:sz="0" w:space="0" w:color="auto"/>
        <w:left w:val="none" w:sz="0" w:space="0" w:color="auto"/>
        <w:bottom w:val="none" w:sz="0" w:space="0" w:color="auto"/>
        <w:right w:val="none" w:sz="0" w:space="0" w:color="auto"/>
      </w:divBdr>
    </w:div>
    <w:div w:id="1517577369">
      <w:bodyDiv w:val="1"/>
      <w:marLeft w:val="0"/>
      <w:marRight w:val="0"/>
      <w:marTop w:val="0"/>
      <w:marBottom w:val="0"/>
      <w:divBdr>
        <w:top w:val="none" w:sz="0" w:space="0" w:color="auto"/>
        <w:left w:val="none" w:sz="0" w:space="0" w:color="auto"/>
        <w:bottom w:val="none" w:sz="0" w:space="0" w:color="auto"/>
        <w:right w:val="none" w:sz="0" w:space="0" w:color="auto"/>
      </w:divBdr>
    </w:div>
    <w:div w:id="1520119840">
      <w:bodyDiv w:val="1"/>
      <w:marLeft w:val="0"/>
      <w:marRight w:val="0"/>
      <w:marTop w:val="0"/>
      <w:marBottom w:val="0"/>
      <w:divBdr>
        <w:top w:val="none" w:sz="0" w:space="0" w:color="auto"/>
        <w:left w:val="none" w:sz="0" w:space="0" w:color="auto"/>
        <w:bottom w:val="none" w:sz="0" w:space="0" w:color="auto"/>
        <w:right w:val="none" w:sz="0" w:space="0" w:color="auto"/>
      </w:divBdr>
    </w:div>
    <w:div w:id="1573733663">
      <w:bodyDiv w:val="1"/>
      <w:marLeft w:val="0"/>
      <w:marRight w:val="0"/>
      <w:marTop w:val="0"/>
      <w:marBottom w:val="0"/>
      <w:divBdr>
        <w:top w:val="none" w:sz="0" w:space="0" w:color="auto"/>
        <w:left w:val="none" w:sz="0" w:space="0" w:color="auto"/>
        <w:bottom w:val="none" w:sz="0" w:space="0" w:color="auto"/>
        <w:right w:val="none" w:sz="0" w:space="0" w:color="auto"/>
      </w:divBdr>
    </w:div>
    <w:div w:id="1930502921">
      <w:bodyDiv w:val="1"/>
      <w:marLeft w:val="0"/>
      <w:marRight w:val="0"/>
      <w:marTop w:val="0"/>
      <w:marBottom w:val="0"/>
      <w:divBdr>
        <w:top w:val="none" w:sz="0" w:space="0" w:color="auto"/>
        <w:left w:val="none" w:sz="0" w:space="0" w:color="auto"/>
        <w:bottom w:val="none" w:sz="0" w:space="0" w:color="auto"/>
        <w:right w:val="none" w:sz="0" w:space="0" w:color="auto"/>
      </w:divBdr>
    </w:div>
    <w:div w:id="1933008834">
      <w:bodyDiv w:val="1"/>
      <w:marLeft w:val="0"/>
      <w:marRight w:val="0"/>
      <w:marTop w:val="0"/>
      <w:marBottom w:val="0"/>
      <w:divBdr>
        <w:top w:val="none" w:sz="0" w:space="0" w:color="auto"/>
        <w:left w:val="none" w:sz="0" w:space="0" w:color="auto"/>
        <w:bottom w:val="none" w:sz="0" w:space="0" w:color="auto"/>
        <w:right w:val="none" w:sz="0" w:space="0" w:color="auto"/>
      </w:divBdr>
    </w:div>
    <w:div w:id="1990594454">
      <w:bodyDiv w:val="1"/>
      <w:marLeft w:val="0"/>
      <w:marRight w:val="0"/>
      <w:marTop w:val="0"/>
      <w:marBottom w:val="0"/>
      <w:divBdr>
        <w:top w:val="none" w:sz="0" w:space="0" w:color="auto"/>
        <w:left w:val="none" w:sz="0" w:space="0" w:color="auto"/>
        <w:bottom w:val="none" w:sz="0" w:space="0" w:color="auto"/>
        <w:right w:val="none" w:sz="0" w:space="0" w:color="auto"/>
      </w:divBdr>
    </w:div>
    <w:div w:id="211918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leif.org/en/lei-data/lei-mapping/download-isin-to-lei-relationship-fil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leif.org/en/lei-data/lei-mapping/download-bic-to-lei-relationship-files" TargetMode="External"/><Relationship Id="rId4" Type="http://schemas.openxmlformats.org/officeDocument/2006/relationships/styles" Target="styles.xml"/><Relationship Id="rId9" Type="http://schemas.openxmlformats.org/officeDocument/2006/relationships/hyperlink" Target="https://www.gleif.org/en/lei-solutions/regulatory-use-of-the-lei"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gleif.org/en/lei-solutions/regulatory-use-of-the-lei/gleif-and-data-foundation-comprehensive-entity-id-for-u-s-federal-govern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2016-09-15T00:00:00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319442-DCA1-8F4D-891A-1F7A5D2D3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GLEIF</dc:creator>
  <cp:keywords/>
  <dc:description/>
  <cp:lastModifiedBy>Burcu Mentesoglu</cp:lastModifiedBy>
  <cp:revision>2</cp:revision>
  <cp:lastPrinted>2017-11-30T11:54:00Z</cp:lastPrinted>
  <dcterms:created xsi:type="dcterms:W3CDTF">2021-07-12T13:20:00Z</dcterms:created>
  <dcterms:modified xsi:type="dcterms:W3CDTF">2021-07-12T13:20:00Z</dcterms:modified>
  <cp:category>© 2021 GLEIF and/or its affiliates. All rights reserved | GLEIF unrestricted</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vt:lpwstr>0.1</vt:lpwstr>
  </property>
</Properties>
</file>